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A3851" w14:textId="77777777" w:rsidR="00A835DA" w:rsidRDefault="00A835DA" w:rsidP="00A835DA"/>
    <w:p w14:paraId="516BE671" w14:textId="77777777" w:rsidR="00A835DA" w:rsidRPr="000802BF" w:rsidRDefault="00A835DA" w:rsidP="00A835DA">
      <w:pPr>
        <w:pStyle w:val="Titolo3"/>
        <w:numPr>
          <w:ilvl w:val="0"/>
          <w:numId w:val="0"/>
        </w:numPr>
        <w:jc w:val="left"/>
        <w:rPr>
          <w:lang w:val="it-IT"/>
        </w:rPr>
      </w:pPr>
      <w:bookmarkStart w:id="0" w:name="_Toc256000115"/>
      <w:r w:rsidRPr="000802BF">
        <w:rPr>
          <w:lang w:val="it-IT"/>
        </w:rPr>
        <w:t xml:space="preserve">M22 – </w:t>
      </w:r>
      <w:bookmarkEnd w:id="0"/>
      <w:r w:rsidRPr="000802BF">
        <w:rPr>
          <w:lang w:val="it-IT"/>
        </w:rPr>
        <w:t xml:space="preserve">Sostegno temporaneo eccezionale a favore di agricoltori e PMI particolarmente colpiti dalle conseguenze dell’invasione dell’Ucraina da parte della Russia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7590417A"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337461E8" w14:textId="77777777" w:rsidR="00A835DA" w:rsidRPr="00387D77" w:rsidRDefault="00A835DA" w:rsidP="00A835DA">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 xml:space="preserve">Regolamento (UE) n. 1305/2013 del Parlamento Europeo e del Consiglio, del 17 dicembre 2013, sul sostegno allo sviluppo rurale da parte del Fondo Europeo Agricolo per lo Sviluppo Rurale (FEASR) e che abroga il Regolamento (CE) n. 1698/2005 del Consiglio e </w:t>
            </w:r>
            <w:proofErr w:type="spellStart"/>
            <w:r w:rsidRPr="00387D77">
              <w:rPr>
                <w:rFonts w:ascii="Times New Roman" w:hAnsi="Times New Roman" w:cs="Times New Roman"/>
              </w:rPr>
              <w:t>s.m.i.</w:t>
            </w:r>
            <w:proofErr w:type="spellEnd"/>
          </w:p>
          <w:p w14:paraId="12DCC77E" w14:textId="77777777" w:rsidR="00A835DA" w:rsidRPr="00387D77" w:rsidRDefault="00A835DA" w:rsidP="00A835DA">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 xml:space="preserve">Regolamento delegato (UE) n. 807/2014 della Commissione, dell’11 marzo 2014, che integra talune disposizioni del Regolamento (UE) n. 1305/2013 del Parlamento Europeo e del Consiglio sul sostegno allo sviluppo rurale da parte del Fondo Europeo Agricolo per lo Sviluppo Rurale (FEASR) e che introduce disposizioni transitorie e </w:t>
            </w:r>
            <w:proofErr w:type="spellStart"/>
            <w:r w:rsidRPr="00387D77">
              <w:rPr>
                <w:rFonts w:ascii="Times New Roman" w:hAnsi="Times New Roman" w:cs="Times New Roman"/>
              </w:rPr>
              <w:t>s.m.i.</w:t>
            </w:r>
            <w:proofErr w:type="spellEnd"/>
          </w:p>
          <w:p w14:paraId="3ADDE7D1" w14:textId="77777777" w:rsidR="00A835DA" w:rsidRPr="00387D77" w:rsidRDefault="00A835DA" w:rsidP="00A835DA">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 xml:space="preserve">Regolamento di esecuzione (UE) n. 808/2014 della Commissione, dell’17 luglio 2014, recante modalità di applicazione del Regolamento (UE) n. 1305/2013 del Parlamento Europeo e del Consiglio sul sostegno allo sviluppo rurale da parte del Fondo Europeo Agricolo per lo Sviluppo Rurale (FEASR) e </w:t>
            </w:r>
            <w:proofErr w:type="spellStart"/>
            <w:r w:rsidRPr="00387D77">
              <w:rPr>
                <w:rFonts w:ascii="Times New Roman" w:hAnsi="Times New Roman" w:cs="Times New Roman"/>
              </w:rPr>
              <w:t>s.m.i.</w:t>
            </w:r>
            <w:proofErr w:type="spellEnd"/>
          </w:p>
          <w:p w14:paraId="6E131BDC" w14:textId="7EA6EECD" w:rsidR="00A835DA" w:rsidRPr="00387D77" w:rsidRDefault="00A835DA" w:rsidP="00A835DA">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 xml:space="preserve">Regolamento di esecuzione (UE) n. 809/2014, dell’17 luglio 2014, recante modalità di applicazione del Regolamento (UE) n. 1306/2013 del Parlamento Europeo e del Consiglio per quanto riguarda il sistema integrato di gestione e di controllo, le misure di sviluppo rurale e la condizionalità e </w:t>
            </w:r>
            <w:proofErr w:type="spellStart"/>
            <w:r w:rsidRPr="00387D77">
              <w:rPr>
                <w:rFonts w:ascii="Times New Roman" w:hAnsi="Times New Roman" w:cs="Times New Roman"/>
              </w:rPr>
              <w:t>s.m.i.</w:t>
            </w:r>
            <w:proofErr w:type="spellEnd"/>
          </w:p>
          <w:p w14:paraId="4CE25B29" w14:textId="68A3A8D3" w:rsidR="00BA7952" w:rsidRPr="00387D77" w:rsidRDefault="00BA7952" w:rsidP="00BA7952">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 xml:space="preserve">Regolamento </w:t>
            </w:r>
            <w:r w:rsidR="005C7AEC" w:rsidRPr="00387D77">
              <w:rPr>
                <w:rFonts w:ascii="Times New Roman" w:hAnsi="Times New Roman" w:cs="Times New Roman"/>
              </w:rPr>
              <w:t>(UE) n. 2020/2220 del Parlamento Europeo e del Consiglio del 23 dicembre 2020 che stabilisce disposizioni transitorie relative al sostegno da parte del Fondo europeo agricolo per lo sviluppo rurale (FEASR) e del Fondo Europeo di Garanzia (FEAGA) negli anni 2021 e 2022</w:t>
            </w:r>
          </w:p>
          <w:p w14:paraId="583B270D" w14:textId="7640EFE6" w:rsidR="00BA7952" w:rsidRPr="00387D77" w:rsidRDefault="00A835DA" w:rsidP="00387D77">
            <w:pPr>
              <w:widowControl/>
              <w:numPr>
                <w:ilvl w:val="0"/>
                <w:numId w:val="3"/>
              </w:numPr>
              <w:suppressAutoHyphens w:val="0"/>
              <w:ind w:hanging="210"/>
              <w:jc w:val="both"/>
              <w:rPr>
                <w:rFonts w:ascii="Times New Roman" w:hAnsi="Times New Roman" w:cs="Times New Roman"/>
              </w:rPr>
            </w:pPr>
            <w:r w:rsidRPr="00387D77">
              <w:rPr>
                <w:rFonts w:ascii="Times New Roman" w:hAnsi="Times New Roman" w:cs="Times New Roman"/>
              </w:rPr>
              <w:t>Regolamento (UE) n.</w:t>
            </w:r>
            <w:r w:rsidR="005C7AEC" w:rsidRPr="00387D77">
              <w:rPr>
                <w:rFonts w:ascii="Times New Roman" w:hAnsi="Times New Roman" w:cs="Times New Roman"/>
              </w:rPr>
              <w:t>2022</w:t>
            </w:r>
            <w:r w:rsidRPr="00387D77">
              <w:rPr>
                <w:rFonts w:ascii="Times New Roman" w:hAnsi="Times New Roman" w:cs="Times New Roman"/>
              </w:rPr>
              <w:t>/</w:t>
            </w:r>
            <w:r w:rsidR="005C7AEC" w:rsidRPr="00387D77">
              <w:rPr>
                <w:rFonts w:ascii="Times New Roman" w:hAnsi="Times New Roman" w:cs="Times New Roman"/>
              </w:rPr>
              <w:t>1033</w:t>
            </w:r>
            <w:r w:rsidRPr="00387D77">
              <w:rPr>
                <w:rFonts w:ascii="Times New Roman" w:hAnsi="Times New Roman" w:cs="Times New Roman"/>
              </w:rPr>
              <w:t xml:space="preserve"> </w:t>
            </w:r>
            <w:r w:rsidR="005C7AEC" w:rsidRPr="00387D77">
              <w:rPr>
                <w:rFonts w:ascii="Times New Roman" w:hAnsi="Times New Roman" w:cs="Times New Roman"/>
              </w:rPr>
              <w:t xml:space="preserve">del Parlamento Europeo e del Consiglio </w:t>
            </w:r>
            <w:r w:rsidRPr="00387D77">
              <w:rPr>
                <w:rFonts w:ascii="Times New Roman" w:hAnsi="Times New Roman" w:cs="Times New Roman"/>
              </w:rPr>
              <w:t xml:space="preserve">del </w:t>
            </w:r>
            <w:r w:rsidR="005C7AEC" w:rsidRPr="00387D77">
              <w:rPr>
                <w:rFonts w:ascii="Times New Roman" w:hAnsi="Times New Roman" w:cs="Times New Roman"/>
              </w:rPr>
              <w:t>29 giugno</w:t>
            </w:r>
            <w:r w:rsidRPr="00387D77">
              <w:rPr>
                <w:rFonts w:ascii="Times New Roman" w:hAnsi="Times New Roman" w:cs="Times New Roman"/>
              </w:rPr>
              <w:t xml:space="preserve"> 2022 che modifica il regolamento (UE) n. 1305/2013 per quanto riguarda una misura specifica volta a fornire un sostegno temporaneo eccezionale nell’ambito del Fondo europeo agricolo per lo sviluppo rurale (FEASR) </w:t>
            </w:r>
            <w:r w:rsidR="005C7AEC" w:rsidRPr="00387D77">
              <w:rPr>
                <w:rFonts w:ascii="Times New Roman" w:hAnsi="Times New Roman" w:cs="Times New Roman"/>
              </w:rPr>
              <w:t>in risposta all’impatto dell’invasione russa dell’Ucraina</w:t>
            </w:r>
            <w:r w:rsidR="00475918" w:rsidRPr="00387D77">
              <w:rPr>
                <w:rFonts w:ascii="Times New Roman" w:hAnsi="Times New Roman" w:cs="Times New Roman"/>
              </w:rPr>
              <w:t>.</w:t>
            </w:r>
          </w:p>
          <w:p w14:paraId="6E20A614" w14:textId="40205A55" w:rsidR="00387D77" w:rsidRPr="00387D77" w:rsidRDefault="00387D77" w:rsidP="00387D77">
            <w:pPr>
              <w:widowControl/>
              <w:numPr>
                <w:ilvl w:val="0"/>
                <w:numId w:val="3"/>
              </w:numPr>
              <w:suppressAutoHyphens w:val="0"/>
              <w:spacing w:after="240"/>
              <w:jc w:val="both"/>
              <w:rPr>
                <w:rFonts w:ascii="Times New Roman" w:hAnsi="Times New Roman" w:cs="Times New Roman"/>
              </w:rPr>
            </w:pPr>
            <w:r w:rsidRPr="00387D77">
              <w:rPr>
                <w:rFonts w:ascii="Times New Roman" w:hAnsi="Times New Roman" w:cs="Times New Roman"/>
              </w:rPr>
              <w:t>Regolamento di esecuzione (UE) n.2022/1227 della Commissione del 15 luglio 2022 che modifica i regolamenti di esecuzione (UE) n. 808/2014 e (UE) n. 809/2014 per quanto riguarda una misura specifica volta a fornire un sostegno temporaneo eccezionale nell’ambito del Fondo europeo agricolo per lo sviluppo rurale (FEASR) in risposta all’impatto dell’invasione russa dell’Ucraina</w:t>
            </w:r>
          </w:p>
        </w:tc>
      </w:tr>
    </w:tbl>
    <w:p w14:paraId="3A2CDB09" w14:textId="77777777" w:rsidR="00A835DA" w:rsidRPr="008A363C" w:rsidRDefault="00A835DA" w:rsidP="00A835DA">
      <w:pPr>
        <w:pStyle w:val="Titolo4"/>
        <w:numPr>
          <w:ilvl w:val="0"/>
          <w:numId w:val="0"/>
        </w:numPr>
        <w:jc w:val="left"/>
        <w:rPr>
          <w:lang w:val="it-IT"/>
        </w:rPr>
      </w:pPr>
      <w:r w:rsidRPr="008A363C">
        <w:rPr>
          <w:lang w:val="it-IT"/>
        </w:rPr>
        <w:t>Descrizione generale della misura, compresi la sua logica d'intervento e il contributo agli aspetti specifici e agli obiettivi trasversali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544B7667"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5DBA988" w14:textId="6EBCB373"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L</w:t>
            </w:r>
            <w:r w:rsidR="008A32A6" w:rsidRPr="00387D77">
              <w:rPr>
                <w:rFonts w:ascii="Times New Roman" w:hAnsi="Times New Roman" w:cs="Times New Roman"/>
              </w:rPr>
              <w:t xml:space="preserve">’invasione russa dell’Ucraina ha colpito con un’intensità senza precedenti tutti i comparti produttivi a causa dell’aumento dei prezzi dei fattori di produzione. In particolare, la liquidità aziendale degli agricoltori è stata messa in difficoltà da un rapido e significativo aumento dei prezzi dell’energia, dei concimi e dei mangimi.  </w:t>
            </w:r>
          </w:p>
          <w:p w14:paraId="583D3411" w14:textId="0AF2A069" w:rsidR="008A32A6" w:rsidRPr="00387D77" w:rsidRDefault="008A32A6" w:rsidP="004803B9">
            <w:pPr>
              <w:spacing w:before="240" w:after="240"/>
              <w:rPr>
                <w:rFonts w:ascii="Times New Roman" w:hAnsi="Times New Roman" w:cs="Times New Roman"/>
              </w:rPr>
            </w:pPr>
            <w:r w:rsidRPr="00387D77">
              <w:rPr>
                <w:rFonts w:ascii="Times New Roman" w:hAnsi="Times New Roman" w:cs="Times New Roman"/>
              </w:rPr>
              <w:t xml:space="preserve">In analogia alle problematiche che interessano l’intero comparto agricolo comunitario, anche le imprese agricole lombarde sono state particolarmente colpite da tale situazione emergenziale, che si aggiunge, in termini di effetti, sulla crisi innescata dall’epidemia da COVID-19. </w:t>
            </w:r>
          </w:p>
          <w:p w14:paraId="3703A843" w14:textId="75960FEA" w:rsidR="00A835DA" w:rsidRPr="00387D77" w:rsidRDefault="008A32A6" w:rsidP="004803B9">
            <w:pPr>
              <w:spacing w:before="240" w:after="240"/>
              <w:rPr>
                <w:rFonts w:ascii="Times New Roman" w:hAnsi="Times New Roman" w:cs="Times New Roman"/>
              </w:rPr>
            </w:pPr>
            <w:r w:rsidRPr="00387D77">
              <w:rPr>
                <w:rFonts w:ascii="Times New Roman" w:hAnsi="Times New Roman" w:cs="Times New Roman"/>
              </w:rPr>
              <w:t xml:space="preserve">La Regione Lombardia si caratterizza per un sistema agricolo che dipende significativamente </w:t>
            </w:r>
            <w:r w:rsidRPr="00387D77">
              <w:rPr>
                <w:rFonts w:ascii="Times New Roman" w:hAnsi="Times New Roman" w:cs="Times New Roman"/>
              </w:rPr>
              <w:lastRenderedPageBreak/>
              <w:t xml:space="preserve">dalla fornitura di energia, prodotti fitosanitari, concimi e mangimi. Pertanto, le imprese agricole lombarde registrano problemi di redditività e difficoltà in termini di liquidità. </w:t>
            </w:r>
          </w:p>
          <w:p w14:paraId="27431A87" w14:textId="0028C784" w:rsidR="00A835DA" w:rsidRPr="00387D77" w:rsidRDefault="00A835DA" w:rsidP="008A32A6">
            <w:pPr>
              <w:jc w:val="both"/>
              <w:rPr>
                <w:rFonts w:ascii="Times New Roman" w:hAnsi="Times New Roman" w:cs="Times New Roman"/>
              </w:rPr>
            </w:pPr>
            <w:r w:rsidRPr="00387D77">
              <w:rPr>
                <w:rFonts w:ascii="Times New Roman" w:hAnsi="Times New Roman" w:cs="Times New Roman"/>
              </w:rPr>
              <w:t xml:space="preserve">In particolare, Regione Lombardia </w:t>
            </w:r>
            <w:r w:rsidR="008A32A6" w:rsidRPr="00387D77">
              <w:rPr>
                <w:rFonts w:ascii="Times New Roman" w:hAnsi="Times New Roman" w:cs="Times New Roman"/>
              </w:rPr>
              <w:t>intende sostenere</w:t>
            </w:r>
            <w:r w:rsidRPr="00387D77">
              <w:rPr>
                <w:rFonts w:ascii="Times New Roman" w:hAnsi="Times New Roman" w:cs="Times New Roman"/>
              </w:rPr>
              <w:t xml:space="preserve"> gli agricoltori </w:t>
            </w:r>
            <w:r w:rsidR="008A32A6" w:rsidRPr="00387D77">
              <w:rPr>
                <w:rFonts w:ascii="Times New Roman" w:hAnsi="Times New Roman" w:cs="Times New Roman"/>
              </w:rPr>
              <w:t xml:space="preserve">che esercitano la propria attività nell’ambito dei seguenti comparti: </w:t>
            </w:r>
          </w:p>
          <w:p w14:paraId="2AEC8D4E" w14:textId="6B7AFE65" w:rsidR="008A32A6" w:rsidRPr="00387D77" w:rsidRDefault="008A32A6" w:rsidP="008A32A6">
            <w:pPr>
              <w:pStyle w:val="Paragrafoelenco"/>
              <w:numPr>
                <w:ilvl w:val="0"/>
                <w:numId w:val="6"/>
              </w:numPr>
              <w:jc w:val="both"/>
              <w:rPr>
                <w:rFonts w:ascii="Times New Roman" w:eastAsia="Droid Sans Fallback" w:hAnsi="Times New Roman" w:cs="Times New Roman"/>
                <w:color w:val="00000A"/>
                <w:sz w:val="24"/>
                <w:szCs w:val="24"/>
                <w:lang w:eastAsia="zh-CN" w:bidi="hi-IN"/>
              </w:rPr>
            </w:pPr>
            <w:r w:rsidRPr="00387D77">
              <w:rPr>
                <w:rFonts w:ascii="Times New Roman" w:eastAsia="Droid Sans Fallback" w:hAnsi="Times New Roman" w:cs="Times New Roman"/>
                <w:color w:val="00000A"/>
                <w:sz w:val="24"/>
                <w:szCs w:val="24"/>
                <w:lang w:eastAsia="zh-CN" w:bidi="hi-IN"/>
              </w:rPr>
              <w:t xml:space="preserve">Settore suinicolo, </w:t>
            </w:r>
          </w:p>
          <w:p w14:paraId="11BD0A59" w14:textId="4E34EE9B" w:rsidR="00A835DA" w:rsidRPr="002D5118" w:rsidRDefault="008A32A6" w:rsidP="004803B9">
            <w:pPr>
              <w:pStyle w:val="Paragrafoelenco"/>
              <w:numPr>
                <w:ilvl w:val="0"/>
                <w:numId w:val="6"/>
              </w:numPr>
              <w:jc w:val="both"/>
              <w:rPr>
                <w:rFonts w:ascii="Times New Roman" w:eastAsia="Droid Sans Fallback" w:hAnsi="Times New Roman" w:cs="Times New Roman"/>
                <w:color w:val="00000A"/>
                <w:sz w:val="24"/>
                <w:szCs w:val="24"/>
                <w:lang w:eastAsia="zh-CN" w:bidi="hi-IN"/>
              </w:rPr>
            </w:pPr>
            <w:r w:rsidRPr="00387D77">
              <w:rPr>
                <w:rFonts w:ascii="Times New Roman" w:eastAsia="Droid Sans Fallback" w:hAnsi="Times New Roman" w:cs="Times New Roman"/>
                <w:color w:val="00000A"/>
                <w:sz w:val="24"/>
                <w:szCs w:val="24"/>
                <w:lang w:eastAsia="zh-CN" w:bidi="hi-IN"/>
              </w:rPr>
              <w:t xml:space="preserve">Settore </w:t>
            </w:r>
            <w:r w:rsidR="00E445E4" w:rsidRPr="00387D77">
              <w:rPr>
                <w:rFonts w:ascii="Times New Roman" w:eastAsia="Droid Sans Fallback" w:hAnsi="Times New Roman" w:cs="Times New Roman"/>
                <w:color w:val="00000A"/>
                <w:sz w:val="24"/>
                <w:szCs w:val="24"/>
                <w:lang w:eastAsia="zh-CN" w:bidi="hi-IN"/>
              </w:rPr>
              <w:t>del bovino</w:t>
            </w:r>
            <w:r w:rsidRPr="00387D77">
              <w:rPr>
                <w:rFonts w:ascii="Times New Roman" w:eastAsia="Droid Sans Fallback" w:hAnsi="Times New Roman" w:cs="Times New Roman"/>
                <w:color w:val="00000A"/>
                <w:sz w:val="24"/>
                <w:szCs w:val="24"/>
                <w:lang w:eastAsia="zh-CN" w:bidi="hi-IN"/>
              </w:rPr>
              <w:t xml:space="preserve"> da latte in montagna.</w:t>
            </w:r>
          </w:p>
          <w:p w14:paraId="09230239" w14:textId="3C5383A3" w:rsidR="008A32A6" w:rsidRPr="00387D77" w:rsidRDefault="008A32A6" w:rsidP="008A32A6">
            <w:pPr>
              <w:spacing w:after="240"/>
              <w:jc w:val="both"/>
              <w:rPr>
                <w:rFonts w:ascii="Times New Roman" w:hAnsi="Times New Roman" w:cs="Times New Roman"/>
              </w:rPr>
            </w:pPr>
            <w:r w:rsidRPr="00387D77">
              <w:rPr>
                <w:rFonts w:ascii="Times New Roman" w:hAnsi="Times New Roman" w:cs="Times New Roman"/>
              </w:rPr>
              <w:t xml:space="preserve">Nel primo caso, la scelta è motivata da quanto emerge dallo studio del CREA, basato sui dati RICA, che effettua una stima dei maggiori costi in cui incorrono le imprese agricole a seguito dell’aumento dei prezzi dei fattori di produzione (Guerra in Ucraina: gli effetti sui costi e sui risultati economici delle aziende agricole italiane; aprile 2022), laddove emerge che “in termini assoluti le aziende italiane potrebbero subire incrementi dei costi correnti di oltre 17.300 euro, che sfiorano i 103.000 euro nelle aziende che allevano granivori”. </w:t>
            </w:r>
            <w:r w:rsidR="003A3955" w:rsidRPr="00387D77">
              <w:rPr>
                <w:rFonts w:ascii="Times New Roman" w:hAnsi="Times New Roman" w:cs="Times New Roman"/>
              </w:rPr>
              <w:t xml:space="preserve"> Inoltre per il settore suinicolo nel 2022</w:t>
            </w:r>
            <w:r w:rsidR="0079569B" w:rsidRPr="00387D77">
              <w:rPr>
                <w:rFonts w:ascii="Times New Roman" w:hAnsi="Times New Roman" w:cs="Times New Roman"/>
              </w:rPr>
              <w:t>, come indicato dallo studio CREFIS</w:t>
            </w:r>
            <w:r w:rsidR="003A3955" w:rsidRPr="00387D77">
              <w:rPr>
                <w:rFonts w:ascii="Times New Roman" w:hAnsi="Times New Roman" w:cs="Times New Roman"/>
              </w:rPr>
              <w:t xml:space="preserve"> </w:t>
            </w:r>
            <w:r w:rsidR="0079569B" w:rsidRPr="00387D77">
              <w:rPr>
                <w:rFonts w:ascii="Times New Roman" w:hAnsi="Times New Roman" w:cs="Times New Roman"/>
              </w:rPr>
              <w:t xml:space="preserve">dell’Università Cattolica di Piacenza, </w:t>
            </w:r>
            <w:r w:rsidR="003A3955" w:rsidRPr="00387D77">
              <w:rPr>
                <w:rFonts w:ascii="Times New Roman" w:hAnsi="Times New Roman" w:cs="Times New Roman"/>
              </w:rPr>
              <w:t>si sta assistendo ad un significativo calo di tutti gli indici di redditività</w:t>
            </w:r>
            <w:r w:rsidR="00036DAC" w:rsidRPr="00387D77">
              <w:rPr>
                <w:rFonts w:ascii="Times New Roman" w:hAnsi="Times New Roman" w:cs="Times New Roman"/>
              </w:rPr>
              <w:t xml:space="preserve"> (ad esempio:</w:t>
            </w:r>
            <w:r w:rsidR="003A3955" w:rsidRPr="00387D77">
              <w:rPr>
                <w:rFonts w:ascii="Times New Roman" w:hAnsi="Times New Roman" w:cs="Times New Roman"/>
              </w:rPr>
              <w:t xml:space="preserve"> l’indice di redditività della fase di ingrasso è passato da 1</w:t>
            </w:r>
            <w:r w:rsidR="00036DAC" w:rsidRPr="00387D77">
              <w:rPr>
                <w:rFonts w:ascii="Times New Roman" w:hAnsi="Times New Roman" w:cs="Times New Roman"/>
              </w:rPr>
              <w:t>,</w:t>
            </w:r>
            <w:r w:rsidR="003A3955" w:rsidRPr="00387D77">
              <w:rPr>
                <w:rFonts w:ascii="Times New Roman" w:hAnsi="Times New Roman" w:cs="Times New Roman"/>
              </w:rPr>
              <w:t>361 a gennaio 2021 a 0,97 a maggio 2022;  l’indice di redditività della macellazione è passato da 1,3 a gennaio 2021 a 1,206 a maggio 2022; l’indice di redditività della fase di allevamento a ciclo chiuso</w:t>
            </w:r>
            <w:r w:rsidR="00036DAC" w:rsidRPr="00387D77">
              <w:rPr>
                <w:rFonts w:ascii="Times New Roman" w:hAnsi="Times New Roman" w:cs="Times New Roman"/>
              </w:rPr>
              <w:t xml:space="preserve"> è passato da 1,782 a gennaio 2021 a 1,023 a maggio 2022</w:t>
            </w:r>
            <w:r w:rsidR="0079569B" w:rsidRPr="00387D77">
              <w:rPr>
                <w:rFonts w:ascii="Times New Roman" w:hAnsi="Times New Roman" w:cs="Times New Roman"/>
              </w:rPr>
              <w:t>).</w:t>
            </w:r>
          </w:p>
          <w:p w14:paraId="673B4B37" w14:textId="66A78E41" w:rsidR="005976D0" w:rsidRDefault="008A32A6" w:rsidP="005969D4">
            <w:pPr>
              <w:jc w:val="both"/>
              <w:rPr>
                <w:rFonts w:ascii="Times New Roman" w:hAnsi="Times New Roman" w:cs="Times New Roman"/>
              </w:rPr>
            </w:pPr>
            <w:r w:rsidRPr="008160D3">
              <w:rPr>
                <w:rFonts w:ascii="Times New Roman" w:hAnsi="Times New Roman" w:cs="Times New Roman"/>
              </w:rPr>
              <w:t xml:space="preserve">Nel secondo caso, </w:t>
            </w:r>
            <w:r w:rsidR="005969D4" w:rsidRPr="008160D3">
              <w:rPr>
                <w:rFonts w:ascii="Times New Roman" w:hAnsi="Times New Roman" w:cs="Times New Roman"/>
              </w:rPr>
              <w:t>la scelta di concentrare l’intervento sull’allevamento bovino da latte (secondo settore zootecnico con perdite sostenute secondo lo studio CREA</w:t>
            </w:r>
            <w:r w:rsidR="00894A06">
              <w:rPr>
                <w:rFonts w:ascii="Times New Roman" w:hAnsi="Times New Roman" w:cs="Times New Roman"/>
              </w:rPr>
              <w:t xml:space="preserve"> sopra citato</w:t>
            </w:r>
            <w:r w:rsidR="005969D4" w:rsidRPr="008160D3">
              <w:rPr>
                <w:rFonts w:ascii="Times New Roman" w:hAnsi="Times New Roman" w:cs="Times New Roman"/>
              </w:rPr>
              <w:t>) nell’ambito montano è motivata dal fatto che in questo contesto le aziende hanno una minore redditività (il rapporto Reddito netto/ricavi nella montagna alpina è pari al 19% nel 2020 e al 16,9% nel 2021 a fronte del 24% della pianura, come da elaborazioni su dati di fonte RICA relativi al costo medio di produzione del latte indicati nella pubblicazione “Il mercato del latte – Rapporto 2021 ” dell’Università Cattolica del Sacro Cuore</w:t>
            </w:r>
            <w:r w:rsidR="002D5118">
              <w:rPr>
                <w:rFonts w:ascii="Times New Roman" w:hAnsi="Times New Roman" w:cs="Times New Roman"/>
              </w:rPr>
              <w:t>)</w:t>
            </w:r>
            <w:r w:rsidR="005969D4" w:rsidRPr="008160D3">
              <w:rPr>
                <w:rFonts w:ascii="Times New Roman" w:hAnsi="Times New Roman" w:cs="Times New Roman"/>
              </w:rPr>
              <w:t xml:space="preserve"> ed i costi espliciti, tra i quali gli alimenti acquistati, hanno una più alta incidenza sui ricavi (pari all’81% nel 2020 e 83,1% nel 2021 a fronte del 76% per la pianura). Peraltro, a causa della siccità sono aumentate le difficoltà di reperimento dei foraggi/mangimi e incrementati i costi di trasporto, con un peggioramento di tale incidenza. L’area montana alpina è un ambito fortemente specializzato nell’allevamento da latte e ciò comporta ridotti margini di manovra per far fronte all'incremento dei costi.</w:t>
            </w:r>
            <w:r w:rsidR="005976D0">
              <w:rPr>
                <w:rFonts w:ascii="Times New Roman" w:hAnsi="Times New Roman" w:cs="Times New Roman"/>
              </w:rPr>
              <w:t xml:space="preserve"> </w:t>
            </w:r>
            <w:r w:rsidR="005976D0" w:rsidRPr="005976D0">
              <w:rPr>
                <w:rFonts w:ascii="Times New Roman" w:hAnsi="Times New Roman" w:cs="Times New Roman"/>
              </w:rPr>
              <w:t>Inoltre, sono molte le realtà che già operano ai margini della redditività e che potrebbero essere portate alla chiusura ed al conseguente abbandono del territorio; fenomeno che avrebbe conseguenze ambientali negative che si intende contrastare.</w:t>
            </w:r>
          </w:p>
          <w:p w14:paraId="4509347F" w14:textId="0D2FC0A9" w:rsidR="00E15241" w:rsidRDefault="00E15241" w:rsidP="005969D4">
            <w:pPr>
              <w:jc w:val="both"/>
              <w:rPr>
                <w:rFonts w:ascii="Times New Roman" w:hAnsi="Times New Roman" w:cs="Times New Roman"/>
              </w:rPr>
            </w:pPr>
          </w:p>
          <w:p w14:paraId="7BFEC2AC" w14:textId="1E87262D" w:rsidR="00E15241" w:rsidRDefault="00E15241" w:rsidP="005969D4">
            <w:pPr>
              <w:jc w:val="both"/>
              <w:rPr>
                <w:rFonts w:ascii="Times New Roman" w:hAnsi="Times New Roman" w:cs="Times New Roman"/>
              </w:rPr>
            </w:pPr>
            <w:r>
              <w:rPr>
                <w:rFonts w:ascii="Times New Roman" w:hAnsi="Times New Roman" w:cs="Times New Roman"/>
              </w:rPr>
              <w:t xml:space="preserve">Il sostegno a tali settori che risultano </w:t>
            </w:r>
            <w:r w:rsidRPr="00E15241">
              <w:rPr>
                <w:rFonts w:ascii="Times New Roman" w:hAnsi="Times New Roman" w:cs="Times New Roman"/>
              </w:rPr>
              <w:t>maggiormente colpiti dall'impatto dell'invasione russa dell'Ucraina contribuisce inoltre alla sicurezza alimentare.</w:t>
            </w:r>
          </w:p>
          <w:p w14:paraId="6F1A0555" w14:textId="20E8605D" w:rsidR="00A835DA" w:rsidRPr="00387D77" w:rsidRDefault="00A835DA" w:rsidP="00E15241">
            <w:pPr>
              <w:jc w:val="both"/>
              <w:rPr>
                <w:rFonts w:ascii="Times New Roman" w:hAnsi="Times New Roman" w:cs="Times New Roman"/>
              </w:rPr>
            </w:pPr>
          </w:p>
        </w:tc>
      </w:tr>
    </w:tbl>
    <w:p w14:paraId="6E0A363D" w14:textId="77777777" w:rsidR="00A835DA" w:rsidRPr="00512269" w:rsidRDefault="00A835DA" w:rsidP="00A835DA">
      <w:pPr>
        <w:pStyle w:val="Titolo4"/>
        <w:numPr>
          <w:ilvl w:val="0"/>
          <w:numId w:val="0"/>
        </w:numPr>
        <w:jc w:val="left"/>
        <w:rPr>
          <w:lang w:val="it-IT"/>
        </w:rPr>
      </w:pPr>
      <w:r w:rsidRPr="00512269">
        <w:rPr>
          <w:lang w:val="it-IT"/>
        </w:rPr>
        <w:lastRenderedPageBreak/>
        <w:t>Campo di applicazione, aliquota di sostegno, beneficiari ammissibili, e, se del caso, metodo per il calcolo dell'importo o del tasso di sostegno, eventualmente ripartito per sottomisura e/o per tipo di operazione. Per ciascun tipo di operazione, specificare i costi ammissibili, le condizioni di ammissibilità, gli importi e le aliquote di sostegno applicabili nonché i principi per la definizione dei criteri di selezione</w:t>
      </w:r>
    </w:p>
    <w:p w14:paraId="18CFC6C9" w14:textId="797134A6" w:rsidR="00A835DA" w:rsidRPr="00512269" w:rsidRDefault="00A835DA" w:rsidP="00A835DA">
      <w:pPr>
        <w:pStyle w:val="Titolo5"/>
        <w:numPr>
          <w:ilvl w:val="0"/>
          <w:numId w:val="0"/>
        </w:numPr>
        <w:rPr>
          <w:b w:val="0"/>
          <w:lang w:val="it-IT"/>
        </w:rPr>
      </w:pPr>
      <w:r w:rsidRPr="00512269">
        <w:rPr>
          <w:b w:val="0"/>
          <w:lang w:val="it-IT"/>
        </w:rPr>
        <w:t>Operazione 2</w:t>
      </w:r>
      <w:r w:rsidR="00BA7952" w:rsidRPr="00512269">
        <w:rPr>
          <w:b w:val="0"/>
          <w:lang w:val="it-IT"/>
        </w:rPr>
        <w:t>2</w:t>
      </w:r>
      <w:r w:rsidRPr="00512269">
        <w:rPr>
          <w:b w:val="0"/>
          <w:lang w:val="it-IT"/>
        </w:rPr>
        <w:t xml:space="preserve">.1.01 – </w:t>
      </w:r>
      <w:r w:rsidR="00BA7952" w:rsidRPr="00512269">
        <w:rPr>
          <w:b w:val="0"/>
          <w:lang w:val="it-IT"/>
        </w:rPr>
        <w:t>Sostegno temporaneo eccezionale a favore di agricoltori e PMI particolarmente colpiti dalle conseguenze dell’invasione dell’Ucraina da parte della Russia</w:t>
      </w:r>
    </w:p>
    <w:p w14:paraId="7609D3F9" w14:textId="77777777" w:rsidR="00A835DA" w:rsidRPr="00BA7952" w:rsidRDefault="00A835DA" w:rsidP="00A835DA">
      <w:r w:rsidRPr="00BA7952">
        <w:t xml:space="preserve">Sottomisura: </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9334"/>
      </w:tblGrid>
      <w:tr w:rsidR="00A835DA" w:rsidRPr="00387D77" w14:paraId="4FDEFF4F"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hideMark/>
          </w:tcPr>
          <w:p w14:paraId="7215F82E" w14:textId="4BB2213C" w:rsidR="00A835DA" w:rsidRPr="00387D77" w:rsidRDefault="00A835DA" w:rsidP="00A835DA">
            <w:pPr>
              <w:widowControl/>
              <w:numPr>
                <w:ilvl w:val="0"/>
                <w:numId w:val="4"/>
              </w:numPr>
              <w:suppressAutoHyphens w:val="0"/>
              <w:spacing w:before="120" w:after="120"/>
              <w:jc w:val="both"/>
              <w:rPr>
                <w:rFonts w:ascii="Times New Roman" w:hAnsi="Times New Roman" w:cs="Times New Roman"/>
              </w:rPr>
            </w:pPr>
            <w:r w:rsidRPr="00387D77">
              <w:rPr>
                <w:rFonts w:ascii="Times New Roman" w:hAnsi="Times New Roman" w:cs="Times New Roman"/>
              </w:rPr>
              <w:lastRenderedPageBreak/>
              <w:t>2</w:t>
            </w:r>
            <w:r w:rsidR="00BA7952" w:rsidRPr="00387D77">
              <w:rPr>
                <w:rFonts w:ascii="Times New Roman" w:hAnsi="Times New Roman" w:cs="Times New Roman"/>
              </w:rPr>
              <w:t>2</w:t>
            </w:r>
            <w:r w:rsidRPr="00387D77">
              <w:rPr>
                <w:rFonts w:ascii="Times New Roman" w:hAnsi="Times New Roman" w:cs="Times New Roman"/>
              </w:rPr>
              <w:t xml:space="preserve">.1 – </w:t>
            </w:r>
            <w:r w:rsidR="00BA7952" w:rsidRPr="00387D77">
              <w:rPr>
                <w:rFonts w:ascii="Times New Roman" w:hAnsi="Times New Roman" w:cs="Times New Roman"/>
              </w:rPr>
              <w:t>Sostegno temporaneo eccezionale a favore di agricoltori e PMI particolarmente colpiti dalle conseguenze dell’invasione dell’Ucraina da parte della Russia</w:t>
            </w:r>
          </w:p>
        </w:tc>
      </w:tr>
    </w:tbl>
    <w:p w14:paraId="38F56A9E" w14:textId="77777777" w:rsidR="00A835DA" w:rsidRDefault="00A835DA" w:rsidP="00A835DA">
      <w:pPr>
        <w:pStyle w:val="Titolo6"/>
        <w:numPr>
          <w:ilvl w:val="0"/>
          <w:numId w:val="0"/>
        </w:numPr>
      </w:pPr>
      <w:r>
        <w:t>Descrizione del tipo di intervento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2EA822F3"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3A07FEF9" w14:textId="6E256174" w:rsidR="00A835DA" w:rsidRPr="00387D77" w:rsidRDefault="00A835DA" w:rsidP="004803B9">
            <w:pPr>
              <w:spacing w:after="240"/>
              <w:jc w:val="both"/>
              <w:rPr>
                <w:rFonts w:ascii="Times New Roman" w:hAnsi="Times New Roman" w:cs="Times New Roman"/>
              </w:rPr>
            </w:pPr>
            <w:r w:rsidRPr="00387D77">
              <w:rPr>
                <w:rFonts w:ascii="Times New Roman" w:hAnsi="Times New Roman" w:cs="Times New Roman"/>
              </w:rPr>
              <w:t xml:space="preserve">Con la presente tipologia di operazione Regione Lombardia intende attivare </w:t>
            </w:r>
            <w:r w:rsidR="006772F2" w:rsidRPr="00387D77">
              <w:rPr>
                <w:rFonts w:ascii="Times New Roman" w:hAnsi="Times New Roman" w:cs="Times New Roman"/>
              </w:rPr>
              <w:t xml:space="preserve">la </w:t>
            </w:r>
            <w:r w:rsidRPr="00387D77">
              <w:rPr>
                <w:rFonts w:ascii="Times New Roman" w:hAnsi="Times New Roman" w:cs="Times New Roman"/>
              </w:rPr>
              <w:t>misur</w:t>
            </w:r>
            <w:r w:rsidR="006772F2" w:rsidRPr="00387D77">
              <w:rPr>
                <w:rFonts w:ascii="Times New Roman" w:hAnsi="Times New Roman" w:cs="Times New Roman"/>
              </w:rPr>
              <w:t>a</w:t>
            </w:r>
            <w:r w:rsidRPr="00387D77">
              <w:rPr>
                <w:rFonts w:ascii="Times New Roman" w:hAnsi="Times New Roman" w:cs="Times New Roman"/>
              </w:rPr>
              <w:t xml:space="preserve"> di sostegno dedicat</w:t>
            </w:r>
            <w:r w:rsidR="006772F2" w:rsidRPr="00387D77">
              <w:rPr>
                <w:rFonts w:ascii="Times New Roman" w:hAnsi="Times New Roman" w:cs="Times New Roman"/>
              </w:rPr>
              <w:t>a</w:t>
            </w:r>
            <w:r w:rsidRPr="00387D77">
              <w:rPr>
                <w:rFonts w:ascii="Times New Roman" w:hAnsi="Times New Roman" w:cs="Times New Roman"/>
              </w:rPr>
              <w:t xml:space="preserve"> ai settori agro-alimentari più colpiti dalla crisi economica derivata </w:t>
            </w:r>
            <w:r w:rsidR="00A40EC6" w:rsidRPr="00387D77">
              <w:rPr>
                <w:rFonts w:ascii="Times New Roman" w:hAnsi="Times New Roman" w:cs="Times New Roman"/>
              </w:rPr>
              <w:t>dall’invasione russa dell’Ucraina</w:t>
            </w:r>
            <w:r w:rsidRPr="00387D77">
              <w:rPr>
                <w:rFonts w:ascii="Times New Roman" w:hAnsi="Times New Roman" w:cs="Times New Roman"/>
              </w:rPr>
              <w:t>.</w:t>
            </w:r>
          </w:p>
          <w:p w14:paraId="66CA2BBF" w14:textId="6733563F" w:rsidR="00A835DA" w:rsidRPr="00387D77" w:rsidRDefault="00A835DA" w:rsidP="004803B9">
            <w:pPr>
              <w:spacing w:after="240"/>
              <w:jc w:val="both"/>
              <w:rPr>
                <w:rFonts w:ascii="Times New Roman" w:hAnsi="Times New Roman" w:cs="Times New Roman"/>
              </w:rPr>
            </w:pPr>
            <w:r w:rsidRPr="00387D77">
              <w:rPr>
                <w:rFonts w:ascii="Times New Roman" w:hAnsi="Times New Roman" w:cs="Times New Roman"/>
              </w:rPr>
              <w:t xml:space="preserve">Allo scopo di fronteggiare predette criticità, la Commissione europea ha demandato alle autorità competenti </w:t>
            </w:r>
            <w:r w:rsidR="00A40EC6" w:rsidRPr="00387D77">
              <w:rPr>
                <w:rFonts w:ascii="Times New Roman" w:hAnsi="Times New Roman" w:cs="Times New Roman"/>
              </w:rPr>
              <w:t xml:space="preserve">la possibilità di adottare </w:t>
            </w:r>
            <w:r w:rsidRPr="00387D77">
              <w:rPr>
                <w:rFonts w:ascii="Times New Roman" w:hAnsi="Times New Roman" w:cs="Times New Roman"/>
              </w:rPr>
              <w:t xml:space="preserve">misure urgenti volte a preservare la continuità dell’attività economica nei settori agro-alimentari maggiormente colpiti dalla crisi. Con la presente misura, pertanto, si intende concedere il pagamento di una </w:t>
            </w:r>
            <w:proofErr w:type="spellStart"/>
            <w:r w:rsidRPr="00387D77">
              <w:rPr>
                <w:rFonts w:ascii="Times New Roman" w:hAnsi="Times New Roman" w:cs="Times New Roman"/>
                <w:i/>
                <w:iCs/>
              </w:rPr>
              <w:t>lump</w:t>
            </w:r>
            <w:proofErr w:type="spellEnd"/>
            <w:r w:rsidRPr="00387D77">
              <w:rPr>
                <w:rFonts w:ascii="Times New Roman" w:hAnsi="Times New Roman" w:cs="Times New Roman"/>
                <w:i/>
                <w:iCs/>
              </w:rPr>
              <w:t>-sum</w:t>
            </w:r>
            <w:r w:rsidRPr="00387D77">
              <w:rPr>
                <w:rFonts w:ascii="Times New Roman" w:hAnsi="Times New Roman" w:cs="Times New Roman"/>
              </w:rPr>
              <w:t xml:space="preserve"> quale contributo finanziario a tutela </w:t>
            </w:r>
            <w:r w:rsidR="00A40EC6" w:rsidRPr="00387D77">
              <w:rPr>
                <w:rFonts w:ascii="Times New Roman" w:hAnsi="Times New Roman" w:cs="Times New Roman"/>
              </w:rPr>
              <w:t>dei settori produttivi</w:t>
            </w:r>
            <w:r w:rsidRPr="00387D77">
              <w:rPr>
                <w:rFonts w:ascii="Times New Roman" w:hAnsi="Times New Roman" w:cs="Times New Roman"/>
              </w:rPr>
              <w:t xml:space="preserve"> più colpit</w:t>
            </w:r>
            <w:r w:rsidR="00A40EC6" w:rsidRPr="00387D77">
              <w:rPr>
                <w:rFonts w:ascii="Times New Roman" w:hAnsi="Times New Roman" w:cs="Times New Roman"/>
              </w:rPr>
              <w:t>i</w:t>
            </w:r>
            <w:r w:rsidRPr="00387D77">
              <w:rPr>
                <w:rFonts w:ascii="Times New Roman" w:hAnsi="Times New Roman" w:cs="Times New Roman"/>
              </w:rPr>
              <w:t xml:space="preserve"> dall’emergenza.</w:t>
            </w:r>
          </w:p>
          <w:p w14:paraId="74FD2602" w14:textId="16B707B9" w:rsidR="00E10F78" w:rsidRPr="00387D77" w:rsidRDefault="00A835DA" w:rsidP="009F5151">
            <w:pPr>
              <w:autoSpaceDE w:val="0"/>
              <w:autoSpaceDN w:val="0"/>
              <w:adjustRightInd w:val="0"/>
              <w:jc w:val="both"/>
              <w:rPr>
                <w:rFonts w:ascii="Times New Roman" w:hAnsi="Times New Roman" w:cs="Times New Roman"/>
              </w:rPr>
            </w:pPr>
            <w:r w:rsidRPr="00387D77">
              <w:rPr>
                <w:rFonts w:ascii="Times New Roman" w:hAnsi="Times New Roman" w:cs="Times New Roman"/>
              </w:rPr>
              <w:t xml:space="preserve">La tipologia di intervento </w:t>
            </w:r>
            <w:r w:rsidR="00D77CDD" w:rsidRPr="00387D77">
              <w:rPr>
                <w:rFonts w:ascii="Times New Roman" w:hAnsi="Times New Roman" w:cs="Times New Roman"/>
              </w:rPr>
              <w:t>S</w:t>
            </w:r>
            <w:r w:rsidRPr="00387D77">
              <w:rPr>
                <w:rFonts w:ascii="Times New Roman" w:hAnsi="Times New Roman" w:cs="Times New Roman"/>
              </w:rPr>
              <w:t xml:space="preserve">i inserisce nell’ambito della focus area </w:t>
            </w:r>
            <w:r w:rsidR="00387D77" w:rsidRPr="00387D77">
              <w:rPr>
                <w:rFonts w:ascii="Times New Roman" w:hAnsi="Times New Roman" w:cs="Times New Roman"/>
              </w:rPr>
              <w:t>2A</w:t>
            </w:r>
          </w:p>
        </w:tc>
      </w:tr>
    </w:tbl>
    <w:p w14:paraId="03518073" w14:textId="77777777" w:rsidR="00A835DA" w:rsidRPr="00900DA9" w:rsidRDefault="00A835DA" w:rsidP="00A835DA">
      <w:pPr>
        <w:pStyle w:val="Titolo6"/>
        <w:numPr>
          <w:ilvl w:val="0"/>
          <w:numId w:val="0"/>
        </w:numPr>
      </w:pPr>
      <w:r w:rsidRPr="00900DA9">
        <w:t>Tipo di sostegno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2C1C0BBB"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8B969C8" w14:textId="7B56DA56" w:rsidR="00A835DA" w:rsidRPr="00387D77" w:rsidRDefault="00A835DA" w:rsidP="000E7AF9">
            <w:pPr>
              <w:spacing w:after="240"/>
              <w:rPr>
                <w:rFonts w:ascii="Times New Roman" w:hAnsi="Times New Roman" w:cs="Times New Roman"/>
              </w:rPr>
            </w:pPr>
            <w:r w:rsidRPr="00387D77">
              <w:rPr>
                <w:rFonts w:ascii="Times New Roman" w:hAnsi="Times New Roman" w:cs="Times New Roman"/>
              </w:rPr>
              <w:t xml:space="preserve">Sovvenzione. Il sostegno è erogato </w:t>
            </w:r>
            <w:r w:rsidR="00A40EC6" w:rsidRPr="00387D77">
              <w:rPr>
                <w:rFonts w:ascii="Times New Roman" w:hAnsi="Times New Roman" w:cs="Times New Roman"/>
              </w:rPr>
              <w:t>in forma di somma forfettaria da versare entro il 15 ottobre 2023</w:t>
            </w:r>
            <w:r w:rsidRPr="00387D77">
              <w:rPr>
                <w:rFonts w:ascii="Times New Roman" w:hAnsi="Times New Roman" w:cs="Times New Roman"/>
              </w:rPr>
              <w:t xml:space="preserve"> alle aziende agricole beneficiarie, come definito ex art</w:t>
            </w:r>
            <w:r w:rsidRPr="00387D77">
              <w:rPr>
                <w:rFonts w:ascii="Times New Roman" w:hAnsi="Times New Roman" w:cs="Times New Roman"/>
                <w:color w:val="auto"/>
              </w:rPr>
              <w:t xml:space="preserve">. </w:t>
            </w:r>
            <w:r w:rsidR="000E7AF9" w:rsidRPr="00387D77">
              <w:rPr>
                <w:rFonts w:ascii="Times New Roman" w:hAnsi="Times New Roman" w:cs="Times New Roman"/>
                <w:color w:val="auto"/>
              </w:rPr>
              <w:t>39 quater</w:t>
            </w:r>
            <w:r w:rsidRPr="00387D77">
              <w:rPr>
                <w:rFonts w:ascii="Times New Roman" w:hAnsi="Times New Roman" w:cs="Times New Roman"/>
              </w:rPr>
              <w:t xml:space="preserve">, comma </w:t>
            </w:r>
            <w:r w:rsidR="00A40EC6" w:rsidRPr="00387D77">
              <w:rPr>
                <w:rFonts w:ascii="Times New Roman" w:hAnsi="Times New Roman" w:cs="Times New Roman"/>
              </w:rPr>
              <w:t>4</w:t>
            </w:r>
            <w:r w:rsidRPr="00387D77">
              <w:rPr>
                <w:rFonts w:ascii="Times New Roman" w:hAnsi="Times New Roman" w:cs="Times New Roman"/>
              </w:rPr>
              <w:t xml:space="preserve"> del Reg. </w:t>
            </w:r>
            <w:r w:rsidR="00387D77" w:rsidRPr="00387D77">
              <w:rPr>
                <w:rFonts w:ascii="Times New Roman" w:hAnsi="Times New Roman" w:cs="Times New Roman"/>
              </w:rPr>
              <w:t>(UE) n. 1305/2013, così come modificato dal Regolamento (UE) n.2022/1033</w:t>
            </w:r>
          </w:p>
        </w:tc>
      </w:tr>
    </w:tbl>
    <w:p w14:paraId="4AFAC8E5" w14:textId="7BA829D7" w:rsidR="00A835DA" w:rsidRPr="000E7AF9" w:rsidRDefault="00A835DA" w:rsidP="00A835DA">
      <w:pPr>
        <w:pStyle w:val="Titolo6"/>
        <w:numPr>
          <w:ilvl w:val="0"/>
          <w:numId w:val="0"/>
        </w:numPr>
        <w:rPr>
          <w:lang w:val="it-IT"/>
        </w:rPr>
      </w:pPr>
      <w:r w:rsidRPr="000E7AF9">
        <w:rPr>
          <w:lang w:val="it-IT"/>
        </w:rPr>
        <w:t>Collegamenti con altre normative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36AEDC43"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11F9C95E" w14:textId="50A02299" w:rsidR="00A835DA" w:rsidRPr="00387D77" w:rsidRDefault="00CD7A90" w:rsidP="004803B9">
            <w:pPr>
              <w:spacing w:before="240" w:after="240"/>
              <w:rPr>
                <w:rFonts w:ascii="Times New Roman" w:hAnsi="Times New Roman" w:cs="Times New Roman"/>
              </w:rPr>
            </w:pPr>
            <w:r w:rsidRPr="00387D77">
              <w:rPr>
                <w:rFonts w:ascii="Times New Roman" w:hAnsi="Times New Roman" w:cs="Times New Roman"/>
              </w:rPr>
              <w:t>N/A</w:t>
            </w:r>
          </w:p>
        </w:tc>
      </w:tr>
    </w:tbl>
    <w:p w14:paraId="6D44CA42" w14:textId="77777777" w:rsidR="00A835DA" w:rsidRPr="000E7AF9" w:rsidRDefault="00A835DA" w:rsidP="00A835DA">
      <w:pPr>
        <w:pStyle w:val="Titolo6"/>
        <w:numPr>
          <w:ilvl w:val="0"/>
          <w:numId w:val="0"/>
        </w:numPr>
        <w:rPr>
          <w:lang w:val="it-IT"/>
        </w:rPr>
      </w:pPr>
      <w:r w:rsidRPr="000E7AF9">
        <w:rPr>
          <w:lang w:val="it-IT"/>
        </w:rPr>
        <w:t>Beneficiari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1F2549B5"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0310309B"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I beneficiari della misura sono gli agricoltori.</w:t>
            </w:r>
          </w:p>
        </w:tc>
      </w:tr>
    </w:tbl>
    <w:p w14:paraId="74895C5A" w14:textId="77777777" w:rsidR="00A835DA" w:rsidRPr="000E7AF9" w:rsidRDefault="00A835DA" w:rsidP="00A835DA">
      <w:pPr>
        <w:pStyle w:val="Titolo6"/>
        <w:numPr>
          <w:ilvl w:val="0"/>
          <w:numId w:val="0"/>
        </w:numPr>
        <w:rPr>
          <w:lang w:val="it-IT"/>
        </w:rPr>
      </w:pPr>
      <w:r w:rsidRPr="000E7AF9">
        <w:rPr>
          <w:lang w:val="it-IT"/>
        </w:rPr>
        <w:t>Costi ammissibili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6B669A7B"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54A8D0FF"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La misura non prevede il pagamento del contributo pubblico a fronte di spese sostenute dai beneficiari. Il pagamento è effettuato in modo forfettario secondo le modalità stabilite al successivo paragrafo “importi e aliquote del sostegno”.</w:t>
            </w:r>
          </w:p>
        </w:tc>
      </w:tr>
    </w:tbl>
    <w:p w14:paraId="5A414456" w14:textId="77777777" w:rsidR="00A835DA" w:rsidRDefault="00A835DA" w:rsidP="00A835DA">
      <w:pPr>
        <w:pStyle w:val="Titolo6"/>
        <w:numPr>
          <w:ilvl w:val="0"/>
          <w:numId w:val="0"/>
        </w:numPr>
      </w:pPr>
      <w:r>
        <w:t>Condizioni di ammissibilità</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37C77961"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14E78790" w14:textId="77777777" w:rsidR="00A835DA" w:rsidRPr="00276420" w:rsidRDefault="00A835DA" w:rsidP="004803B9">
            <w:pPr>
              <w:spacing w:after="240"/>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Caratteristiche del richiedente</w:t>
            </w:r>
          </w:p>
          <w:p w14:paraId="11485D82" w14:textId="77777777" w:rsidR="00A835DA" w:rsidRPr="00276420" w:rsidRDefault="00A835DA" w:rsidP="004803B9">
            <w:pPr>
              <w:spacing w:after="240"/>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Gli agricoltori devono appartenere ai seguenti comparti produttivi:</w:t>
            </w:r>
          </w:p>
          <w:p w14:paraId="2BB1F6C2" w14:textId="0E996ED0" w:rsidR="00BA7952" w:rsidRPr="00387D77" w:rsidRDefault="00BA7952" w:rsidP="006E2AE9">
            <w:pPr>
              <w:pStyle w:val="Paragrafoelenco"/>
              <w:numPr>
                <w:ilvl w:val="0"/>
                <w:numId w:val="10"/>
              </w:numPr>
              <w:spacing w:before="240" w:after="240"/>
              <w:rPr>
                <w:rFonts w:ascii="Times New Roman" w:hAnsi="Times New Roman" w:cs="Times New Roman"/>
                <w:sz w:val="24"/>
                <w:szCs w:val="24"/>
              </w:rPr>
            </w:pPr>
            <w:r w:rsidRPr="00387D77">
              <w:rPr>
                <w:rFonts w:ascii="Times New Roman" w:hAnsi="Times New Roman" w:cs="Times New Roman"/>
                <w:sz w:val="24"/>
                <w:szCs w:val="24"/>
              </w:rPr>
              <w:t>suinicolo</w:t>
            </w:r>
          </w:p>
          <w:p w14:paraId="46117183" w14:textId="275C519B" w:rsidR="002665F4" w:rsidRPr="00E26734" w:rsidRDefault="00521D32" w:rsidP="002665F4">
            <w:pPr>
              <w:pStyle w:val="Paragrafoelenco"/>
              <w:numPr>
                <w:ilvl w:val="0"/>
                <w:numId w:val="10"/>
              </w:numPr>
              <w:spacing w:before="240" w:after="240"/>
              <w:rPr>
                <w:rFonts w:ascii="Times New Roman" w:hAnsi="Times New Roman" w:cs="Times New Roman"/>
                <w:sz w:val="24"/>
                <w:szCs w:val="24"/>
              </w:rPr>
            </w:pPr>
            <w:r w:rsidRPr="00387D77">
              <w:rPr>
                <w:rFonts w:ascii="Times New Roman" w:hAnsi="Times New Roman" w:cs="Times New Roman"/>
                <w:sz w:val="24"/>
                <w:szCs w:val="24"/>
              </w:rPr>
              <w:t xml:space="preserve">bovino da latte in </w:t>
            </w:r>
            <w:r w:rsidR="00830FEB" w:rsidRPr="00387D77">
              <w:rPr>
                <w:rFonts w:ascii="Times New Roman" w:hAnsi="Times New Roman" w:cs="Times New Roman"/>
                <w:sz w:val="24"/>
                <w:szCs w:val="24"/>
              </w:rPr>
              <w:t>montagna</w:t>
            </w:r>
            <w:r w:rsidRPr="00387D77">
              <w:rPr>
                <w:rFonts w:ascii="Times New Roman" w:hAnsi="Times New Roman" w:cs="Times New Roman"/>
                <w:sz w:val="24"/>
                <w:szCs w:val="24"/>
              </w:rPr>
              <w:t>.</w:t>
            </w:r>
          </w:p>
          <w:p w14:paraId="3D588B8F" w14:textId="4CA1AAF3" w:rsidR="001F1739" w:rsidRPr="00276420" w:rsidRDefault="001F1739" w:rsidP="001F1739">
            <w:pPr>
              <w:widowControl/>
              <w:suppressAutoHyphens w:val="0"/>
              <w:autoSpaceDE w:val="0"/>
              <w:autoSpaceDN w:val="0"/>
              <w:adjustRightInd w:val="0"/>
              <w:jc w:val="both"/>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 xml:space="preserve">La tipologia di intervento soddisfa i requisiti previsti dal comma 3 dell’articolo 39 quater del </w:t>
            </w:r>
            <w:r w:rsidR="00387D77" w:rsidRPr="00276420">
              <w:rPr>
                <w:rFonts w:ascii="Times New Roman" w:eastAsiaTheme="minorHAnsi" w:hAnsi="Times New Roman" w:cs="Times New Roman"/>
                <w:color w:val="auto"/>
                <w:lang w:eastAsia="en-US" w:bidi="ar-SA"/>
              </w:rPr>
              <w:t>Reg. (UE) n. 1305/2013, così come modificato dal Regolamento (UE) n.2022/1033</w:t>
            </w:r>
            <w:r w:rsidRPr="00276420">
              <w:rPr>
                <w:rFonts w:ascii="Times New Roman" w:eastAsiaTheme="minorHAnsi" w:hAnsi="Times New Roman" w:cs="Times New Roman"/>
                <w:color w:val="auto"/>
                <w:lang w:eastAsia="en-US" w:bidi="ar-SA"/>
              </w:rPr>
              <w:t xml:space="preserve"> per le motivazioni</w:t>
            </w:r>
            <w:r w:rsidR="00387D77" w:rsidRPr="00276420">
              <w:rPr>
                <w:rFonts w:ascii="Times New Roman" w:eastAsiaTheme="minorHAnsi" w:hAnsi="Times New Roman" w:cs="Times New Roman"/>
                <w:color w:val="auto"/>
                <w:lang w:eastAsia="en-US" w:bidi="ar-SA"/>
              </w:rPr>
              <w:t xml:space="preserve"> di seguito indicate.</w:t>
            </w:r>
          </w:p>
          <w:p w14:paraId="71280EE1" w14:textId="77777777" w:rsidR="00520910" w:rsidRPr="00276420" w:rsidRDefault="00520910" w:rsidP="001F1739">
            <w:pPr>
              <w:widowControl/>
              <w:suppressAutoHyphens w:val="0"/>
              <w:autoSpaceDE w:val="0"/>
              <w:autoSpaceDN w:val="0"/>
              <w:adjustRightInd w:val="0"/>
              <w:jc w:val="both"/>
              <w:rPr>
                <w:rFonts w:ascii="Times New Roman" w:eastAsiaTheme="minorHAnsi" w:hAnsi="Times New Roman" w:cs="Times New Roman"/>
                <w:color w:val="auto"/>
                <w:lang w:eastAsia="en-US" w:bidi="ar-SA"/>
              </w:rPr>
            </w:pPr>
          </w:p>
          <w:p w14:paraId="7B63CE34" w14:textId="5EED8481" w:rsidR="001F1739" w:rsidRPr="00276420" w:rsidRDefault="00387D77" w:rsidP="001F1739">
            <w:pPr>
              <w:widowControl/>
              <w:suppressAutoHyphens w:val="0"/>
              <w:autoSpaceDE w:val="0"/>
              <w:autoSpaceDN w:val="0"/>
              <w:adjustRightInd w:val="0"/>
              <w:jc w:val="both"/>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L</w:t>
            </w:r>
            <w:r w:rsidR="001F1739" w:rsidRPr="00276420">
              <w:rPr>
                <w:rFonts w:ascii="Times New Roman" w:eastAsiaTheme="minorHAnsi" w:hAnsi="Times New Roman" w:cs="Times New Roman"/>
                <w:color w:val="auto"/>
                <w:lang w:eastAsia="en-US" w:bidi="ar-SA"/>
              </w:rPr>
              <w:t>’aiuto al settore suinicolo verrà erogato a</w:t>
            </w:r>
            <w:r w:rsidR="00AF034C" w:rsidRPr="00276420">
              <w:rPr>
                <w:rFonts w:ascii="Times New Roman" w:eastAsiaTheme="minorHAnsi" w:hAnsi="Times New Roman" w:cs="Times New Roman"/>
                <w:color w:val="auto"/>
                <w:lang w:eastAsia="en-US" w:bidi="ar-SA"/>
              </w:rPr>
              <w:t>lle</w:t>
            </w:r>
            <w:r w:rsidR="001F1739" w:rsidRPr="00276420">
              <w:rPr>
                <w:rFonts w:ascii="Times New Roman" w:eastAsiaTheme="minorHAnsi" w:hAnsi="Times New Roman" w:cs="Times New Roman"/>
                <w:color w:val="auto"/>
                <w:lang w:eastAsia="en-US" w:bidi="ar-SA"/>
              </w:rPr>
              <w:t xml:space="preserve"> </w:t>
            </w:r>
            <w:r w:rsidRPr="00276420">
              <w:rPr>
                <w:rFonts w:ascii="Times New Roman" w:eastAsiaTheme="minorHAnsi" w:hAnsi="Times New Roman" w:cs="Times New Roman"/>
                <w:color w:val="auto"/>
                <w:lang w:eastAsia="en-US" w:bidi="ar-SA"/>
              </w:rPr>
              <w:t>successive condizioni</w:t>
            </w:r>
            <w:r w:rsidR="00CE11E2" w:rsidRPr="00276420">
              <w:rPr>
                <w:rFonts w:ascii="Times New Roman" w:eastAsiaTheme="minorHAnsi" w:hAnsi="Times New Roman" w:cs="Times New Roman"/>
                <w:color w:val="auto"/>
                <w:lang w:eastAsia="en-US" w:bidi="ar-SA"/>
              </w:rPr>
              <w:t>:</w:t>
            </w:r>
          </w:p>
          <w:p w14:paraId="27ACF0B6" w14:textId="301E74B7" w:rsidR="00E15241" w:rsidRPr="00E15241" w:rsidRDefault="00F36CF6" w:rsidP="00E26734">
            <w:pPr>
              <w:pStyle w:val="Paragrafoelenco"/>
              <w:numPr>
                <w:ilvl w:val="0"/>
                <w:numId w:val="10"/>
              </w:numPr>
              <w:autoSpaceDE w:val="0"/>
              <w:autoSpaceDN w:val="0"/>
              <w:adjustRightInd w:val="0"/>
              <w:jc w:val="both"/>
              <w:rPr>
                <w:rFonts w:ascii="Times New Roman" w:hAnsi="Times New Roman" w:cs="Times New Roman"/>
                <w:sz w:val="24"/>
                <w:szCs w:val="24"/>
              </w:rPr>
            </w:pPr>
            <w:r w:rsidRPr="00E15241">
              <w:rPr>
                <w:rFonts w:ascii="Times New Roman" w:hAnsi="Times New Roman" w:cs="Times New Roman"/>
                <w:sz w:val="24"/>
                <w:szCs w:val="24"/>
              </w:rPr>
              <w:lastRenderedPageBreak/>
              <w:t>Per l’anno campagna 2022</w:t>
            </w:r>
            <w:r w:rsidR="001F1739" w:rsidRPr="00E15241">
              <w:rPr>
                <w:rFonts w:ascii="Times New Roman" w:hAnsi="Times New Roman" w:cs="Times New Roman"/>
                <w:sz w:val="24"/>
                <w:szCs w:val="24"/>
              </w:rPr>
              <w:t xml:space="preserve"> gli allevamenti richiedenti il premio devono</w:t>
            </w:r>
            <w:r w:rsidR="006B74E9" w:rsidRPr="00E15241">
              <w:rPr>
                <w:rFonts w:ascii="Times New Roman" w:hAnsi="Times New Roman" w:cs="Times New Roman"/>
                <w:sz w:val="24"/>
                <w:szCs w:val="24"/>
              </w:rPr>
              <w:t xml:space="preserve"> essere </w:t>
            </w:r>
            <w:r w:rsidR="002A68CD" w:rsidRPr="00E15241">
              <w:rPr>
                <w:rFonts w:ascii="Times New Roman" w:hAnsi="Times New Roman" w:cs="Times New Roman"/>
                <w:sz w:val="24"/>
                <w:szCs w:val="24"/>
              </w:rPr>
              <w:t>assoggettati alla condizionalità e alle pratiche agricole benefiche per il clima e l'ambiente (</w:t>
            </w:r>
            <w:proofErr w:type="spellStart"/>
            <w:r w:rsidR="002A68CD" w:rsidRPr="00E15241">
              <w:rPr>
                <w:rFonts w:ascii="Times New Roman" w:hAnsi="Times New Roman" w:cs="Times New Roman"/>
                <w:sz w:val="24"/>
                <w:szCs w:val="24"/>
              </w:rPr>
              <w:t>greening</w:t>
            </w:r>
            <w:proofErr w:type="spellEnd"/>
            <w:r w:rsidR="002A68CD" w:rsidRPr="00E15241">
              <w:rPr>
                <w:rFonts w:ascii="Times New Roman" w:hAnsi="Times New Roman" w:cs="Times New Roman"/>
                <w:sz w:val="24"/>
                <w:szCs w:val="24"/>
              </w:rPr>
              <w:t xml:space="preserve">) in quanto </w:t>
            </w:r>
            <w:r w:rsidR="006B74E9" w:rsidRPr="00E15241">
              <w:rPr>
                <w:rFonts w:ascii="Times New Roman" w:hAnsi="Times New Roman" w:cs="Times New Roman"/>
                <w:sz w:val="24"/>
                <w:szCs w:val="24"/>
              </w:rPr>
              <w:t xml:space="preserve">beneficiari </w:t>
            </w:r>
            <w:r w:rsidR="00CE11E2" w:rsidRPr="00E15241">
              <w:rPr>
                <w:rFonts w:ascii="Times New Roman" w:hAnsi="Times New Roman" w:cs="Times New Roman"/>
                <w:sz w:val="24"/>
                <w:szCs w:val="24"/>
              </w:rPr>
              <w:t>di pagamenti diretti ai sensi del regolamento (UE) n. 1307/2013</w:t>
            </w:r>
            <w:r w:rsidR="002A68CD" w:rsidRPr="00E15241">
              <w:rPr>
                <w:rFonts w:ascii="Times New Roman" w:hAnsi="Times New Roman" w:cs="Times New Roman"/>
                <w:sz w:val="24"/>
                <w:szCs w:val="24"/>
              </w:rPr>
              <w:t>. Inoltre</w:t>
            </w:r>
            <w:r w:rsidR="00D75ED6" w:rsidRPr="00E15241">
              <w:rPr>
                <w:rFonts w:ascii="Times New Roman" w:hAnsi="Times New Roman" w:cs="Times New Roman"/>
                <w:sz w:val="24"/>
                <w:szCs w:val="24"/>
              </w:rPr>
              <w:t>, al momento del pagamento per la misura 22,</w:t>
            </w:r>
            <w:r w:rsidR="002A68CD" w:rsidRPr="00E15241">
              <w:rPr>
                <w:rFonts w:ascii="Times New Roman" w:hAnsi="Times New Roman" w:cs="Times New Roman"/>
                <w:sz w:val="24"/>
                <w:szCs w:val="24"/>
              </w:rPr>
              <w:t xml:space="preserve"> tali beneficiari</w:t>
            </w:r>
            <w:r w:rsidR="00634A77" w:rsidRPr="00E15241">
              <w:rPr>
                <w:rFonts w:ascii="Times New Roman" w:hAnsi="Times New Roman" w:cs="Times New Roman"/>
                <w:sz w:val="24"/>
                <w:szCs w:val="24"/>
              </w:rPr>
              <w:t xml:space="preserve"> non devono aver avuto sanzioni </w:t>
            </w:r>
            <w:r w:rsidR="00B31CF2" w:rsidRPr="00E15241">
              <w:rPr>
                <w:rFonts w:ascii="Times New Roman" w:hAnsi="Times New Roman" w:cs="Times New Roman"/>
                <w:sz w:val="24"/>
                <w:szCs w:val="24"/>
              </w:rPr>
              <w:t xml:space="preserve">in relazione </w:t>
            </w:r>
            <w:r w:rsidR="002A68CD" w:rsidRPr="00E15241">
              <w:rPr>
                <w:rFonts w:ascii="Times New Roman" w:hAnsi="Times New Roman" w:cs="Times New Roman"/>
                <w:sz w:val="24"/>
                <w:szCs w:val="24"/>
              </w:rPr>
              <w:t xml:space="preserve">alla condizionalità e al </w:t>
            </w:r>
            <w:proofErr w:type="spellStart"/>
            <w:r w:rsidR="002A68CD" w:rsidRPr="00E15241">
              <w:rPr>
                <w:rFonts w:ascii="Times New Roman" w:hAnsi="Times New Roman" w:cs="Times New Roman"/>
                <w:sz w:val="24"/>
                <w:szCs w:val="24"/>
              </w:rPr>
              <w:t>gre</w:t>
            </w:r>
            <w:r w:rsidR="00634A77" w:rsidRPr="00E15241">
              <w:rPr>
                <w:rFonts w:ascii="Times New Roman" w:hAnsi="Times New Roman" w:cs="Times New Roman"/>
                <w:sz w:val="24"/>
                <w:szCs w:val="24"/>
              </w:rPr>
              <w:t>ening</w:t>
            </w:r>
            <w:proofErr w:type="spellEnd"/>
            <w:r w:rsidR="00634A77" w:rsidRPr="00E15241">
              <w:rPr>
                <w:rFonts w:ascii="Times New Roman" w:hAnsi="Times New Roman" w:cs="Times New Roman"/>
                <w:sz w:val="24"/>
                <w:szCs w:val="24"/>
              </w:rPr>
              <w:t xml:space="preserve"> </w:t>
            </w:r>
            <w:r w:rsidR="006F5E78">
              <w:rPr>
                <w:rFonts w:ascii="Times New Roman" w:hAnsi="Times New Roman" w:cs="Times New Roman"/>
                <w:sz w:val="24"/>
                <w:szCs w:val="24"/>
              </w:rPr>
              <w:t>per le campagne 2021 e 2022</w:t>
            </w:r>
            <w:r w:rsidR="00D75ED6" w:rsidRPr="00E15241">
              <w:rPr>
                <w:rFonts w:ascii="Times New Roman" w:hAnsi="Times New Roman" w:cs="Times New Roman"/>
                <w:sz w:val="24"/>
                <w:szCs w:val="24"/>
              </w:rPr>
              <w:t>.</w:t>
            </w:r>
            <w:r w:rsidR="00634A77" w:rsidRPr="00E15241">
              <w:rPr>
                <w:rFonts w:ascii="Times New Roman" w:hAnsi="Times New Roman" w:cs="Times New Roman"/>
                <w:sz w:val="24"/>
                <w:szCs w:val="24"/>
              </w:rPr>
              <w:t xml:space="preserve"> </w:t>
            </w:r>
          </w:p>
          <w:p w14:paraId="69DC738E" w14:textId="1C273870" w:rsidR="00AF034C" w:rsidRPr="00E15241" w:rsidRDefault="00AF034C" w:rsidP="00E15241">
            <w:pPr>
              <w:pStyle w:val="Paragrafoelenco"/>
              <w:autoSpaceDE w:val="0"/>
              <w:autoSpaceDN w:val="0"/>
              <w:adjustRightInd w:val="0"/>
              <w:jc w:val="both"/>
              <w:rPr>
                <w:rFonts w:ascii="Times New Roman" w:hAnsi="Times New Roman" w:cs="Times New Roman"/>
              </w:rPr>
            </w:pPr>
            <w:r w:rsidRPr="00E15241">
              <w:rPr>
                <w:rFonts w:ascii="Times New Roman" w:hAnsi="Times New Roman" w:cs="Times New Roman"/>
              </w:rPr>
              <w:t>e/o</w:t>
            </w:r>
          </w:p>
          <w:p w14:paraId="667CF343" w14:textId="1B706A52" w:rsidR="00CE11E2" w:rsidRPr="00E26734" w:rsidRDefault="00AF034C" w:rsidP="00D75ED6">
            <w:pPr>
              <w:pStyle w:val="Paragrafoelenco"/>
              <w:numPr>
                <w:ilvl w:val="0"/>
                <w:numId w:val="10"/>
              </w:numPr>
              <w:autoSpaceDE w:val="0"/>
              <w:autoSpaceDN w:val="0"/>
              <w:adjustRightInd w:val="0"/>
              <w:jc w:val="both"/>
              <w:rPr>
                <w:rFonts w:ascii="Times New Roman" w:hAnsi="Times New Roman" w:cs="Times New Roman"/>
                <w:sz w:val="24"/>
                <w:szCs w:val="24"/>
              </w:rPr>
            </w:pPr>
            <w:r w:rsidRPr="00276420">
              <w:rPr>
                <w:rFonts w:ascii="Times New Roman" w:hAnsi="Times New Roman" w:cs="Times New Roman"/>
                <w:sz w:val="24"/>
                <w:szCs w:val="24"/>
              </w:rPr>
              <w:t xml:space="preserve">Per l’anno campagna 2022 gli allevamenti richiedenti il premio devono essere beneficiari </w:t>
            </w:r>
            <w:r w:rsidR="004B5643">
              <w:rPr>
                <w:rFonts w:ascii="Times New Roman" w:hAnsi="Times New Roman" w:cs="Times New Roman"/>
                <w:sz w:val="24"/>
                <w:szCs w:val="24"/>
              </w:rPr>
              <w:t xml:space="preserve">di uno o più </w:t>
            </w:r>
            <w:r w:rsidRPr="00276420">
              <w:rPr>
                <w:rFonts w:ascii="Times New Roman" w:hAnsi="Times New Roman" w:cs="Times New Roman"/>
                <w:sz w:val="24"/>
                <w:szCs w:val="24"/>
              </w:rPr>
              <w:t xml:space="preserve">dei premi annuali previsti </w:t>
            </w:r>
            <w:r w:rsidR="004E4233" w:rsidRPr="00276420">
              <w:rPr>
                <w:rFonts w:ascii="Times New Roman" w:hAnsi="Times New Roman" w:cs="Times New Roman"/>
                <w:sz w:val="24"/>
                <w:szCs w:val="24"/>
              </w:rPr>
              <w:t xml:space="preserve">dall'articolo 21, paragrafo 1, lettere a) e b), </w:t>
            </w:r>
            <w:r w:rsidRPr="00276420">
              <w:rPr>
                <w:rFonts w:ascii="Times New Roman" w:hAnsi="Times New Roman" w:cs="Times New Roman"/>
                <w:sz w:val="24"/>
                <w:szCs w:val="24"/>
              </w:rPr>
              <w:t>dagli articoli da 28 a 31</w:t>
            </w:r>
            <w:r w:rsidR="004B5643">
              <w:rPr>
                <w:rFonts w:ascii="Times New Roman" w:hAnsi="Times New Roman" w:cs="Times New Roman"/>
                <w:sz w:val="24"/>
                <w:szCs w:val="24"/>
              </w:rPr>
              <w:t xml:space="preserve"> </w:t>
            </w:r>
            <w:r w:rsidRPr="00276420">
              <w:rPr>
                <w:rFonts w:ascii="Times New Roman" w:hAnsi="Times New Roman" w:cs="Times New Roman"/>
                <w:sz w:val="24"/>
                <w:szCs w:val="24"/>
              </w:rPr>
              <w:t xml:space="preserve">del regolamento (UE) n. 1305/2013 e pertanto rispettare i relativi </w:t>
            </w:r>
            <w:proofErr w:type="gramStart"/>
            <w:r w:rsidRPr="00276420">
              <w:rPr>
                <w:rFonts w:ascii="Times New Roman" w:hAnsi="Times New Roman" w:cs="Times New Roman"/>
                <w:sz w:val="24"/>
                <w:szCs w:val="24"/>
              </w:rPr>
              <w:t>obblighi  di</w:t>
            </w:r>
            <w:proofErr w:type="gramEnd"/>
            <w:r w:rsidRPr="00276420">
              <w:rPr>
                <w:rFonts w:ascii="Times New Roman" w:hAnsi="Times New Roman" w:cs="Times New Roman"/>
                <w:sz w:val="24"/>
                <w:szCs w:val="24"/>
              </w:rPr>
              <w:t xml:space="preserve"> condizionalità ai sensi del REG UE n. 1306/2013</w:t>
            </w:r>
            <w:r w:rsidR="00D27684">
              <w:rPr>
                <w:rFonts w:ascii="Times New Roman" w:hAnsi="Times New Roman" w:cs="Times New Roman"/>
                <w:sz w:val="24"/>
                <w:szCs w:val="24"/>
              </w:rPr>
              <w:t>. Inoltre</w:t>
            </w:r>
            <w:r w:rsidR="00D75ED6" w:rsidRPr="00D75ED6">
              <w:rPr>
                <w:rFonts w:ascii="Times New Roman" w:hAnsi="Times New Roman" w:cs="Times New Roman"/>
                <w:sz w:val="24"/>
                <w:szCs w:val="24"/>
              </w:rPr>
              <w:t xml:space="preserve">, al momento del pagamento per la misura 22, </w:t>
            </w:r>
            <w:r w:rsidR="00D27684">
              <w:rPr>
                <w:rFonts w:ascii="Times New Roman" w:hAnsi="Times New Roman" w:cs="Times New Roman"/>
                <w:sz w:val="24"/>
                <w:szCs w:val="24"/>
              </w:rPr>
              <w:t xml:space="preserve">tali beneficiari non devono aver avuto sanzioni in relazione alla condizionalità </w:t>
            </w:r>
            <w:r w:rsidR="006F5E78">
              <w:rPr>
                <w:rFonts w:ascii="Times New Roman" w:hAnsi="Times New Roman" w:cs="Times New Roman"/>
                <w:sz w:val="24"/>
                <w:szCs w:val="24"/>
              </w:rPr>
              <w:t>per le campagne 2021 e 2022</w:t>
            </w:r>
            <w:r w:rsidRPr="00276420">
              <w:rPr>
                <w:rFonts w:ascii="Times New Roman" w:hAnsi="Times New Roman" w:cs="Times New Roman"/>
                <w:sz w:val="24"/>
                <w:szCs w:val="24"/>
              </w:rPr>
              <w:t>.</w:t>
            </w:r>
          </w:p>
          <w:p w14:paraId="0B19D5D1" w14:textId="730DF516" w:rsidR="001F1739" w:rsidRPr="00276420" w:rsidRDefault="00387D77" w:rsidP="001F1739">
            <w:pPr>
              <w:widowControl/>
              <w:suppressAutoHyphens w:val="0"/>
              <w:autoSpaceDE w:val="0"/>
              <w:autoSpaceDN w:val="0"/>
              <w:adjustRightInd w:val="0"/>
              <w:jc w:val="both"/>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L</w:t>
            </w:r>
            <w:r w:rsidR="001F1739" w:rsidRPr="00276420">
              <w:rPr>
                <w:rFonts w:ascii="Times New Roman" w:eastAsiaTheme="minorHAnsi" w:hAnsi="Times New Roman" w:cs="Times New Roman"/>
                <w:color w:val="auto"/>
                <w:lang w:eastAsia="en-US" w:bidi="ar-SA"/>
              </w:rPr>
              <w:t xml:space="preserve">’aiuto al settore del bovino da latte in montagna verrà erogato alle </w:t>
            </w:r>
            <w:r w:rsidRPr="00276420">
              <w:rPr>
                <w:rFonts w:ascii="Times New Roman" w:eastAsiaTheme="minorHAnsi" w:hAnsi="Times New Roman" w:cs="Times New Roman"/>
                <w:color w:val="auto"/>
                <w:lang w:eastAsia="en-US" w:bidi="ar-SA"/>
              </w:rPr>
              <w:t xml:space="preserve">successive </w:t>
            </w:r>
            <w:r w:rsidR="001F1739" w:rsidRPr="00276420">
              <w:rPr>
                <w:rFonts w:ascii="Times New Roman" w:eastAsiaTheme="minorHAnsi" w:hAnsi="Times New Roman" w:cs="Times New Roman"/>
                <w:color w:val="auto"/>
                <w:lang w:eastAsia="en-US" w:bidi="ar-SA"/>
              </w:rPr>
              <w:t>condizioni</w:t>
            </w:r>
            <w:r w:rsidR="00AF034C" w:rsidRPr="00276420">
              <w:rPr>
                <w:rFonts w:ascii="Times New Roman" w:eastAsiaTheme="minorHAnsi" w:hAnsi="Times New Roman" w:cs="Times New Roman"/>
                <w:color w:val="auto"/>
                <w:lang w:eastAsia="en-US" w:bidi="ar-SA"/>
              </w:rPr>
              <w:t>:</w:t>
            </w:r>
          </w:p>
          <w:p w14:paraId="4CB366DC" w14:textId="77777777" w:rsidR="00387D77" w:rsidRPr="00276420" w:rsidRDefault="00387D77" w:rsidP="00387D77">
            <w:pPr>
              <w:widowControl/>
              <w:suppressAutoHyphens w:val="0"/>
              <w:autoSpaceDE w:val="0"/>
              <w:autoSpaceDN w:val="0"/>
              <w:adjustRightInd w:val="0"/>
              <w:jc w:val="both"/>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Tutti gli allevamenti richiedenti il premio devono:</w:t>
            </w:r>
          </w:p>
          <w:p w14:paraId="5B8AADB1" w14:textId="77777777" w:rsidR="00387D77" w:rsidRPr="00276420" w:rsidRDefault="00387D77" w:rsidP="001F1739">
            <w:pPr>
              <w:widowControl/>
              <w:suppressAutoHyphens w:val="0"/>
              <w:autoSpaceDE w:val="0"/>
              <w:autoSpaceDN w:val="0"/>
              <w:adjustRightInd w:val="0"/>
              <w:jc w:val="both"/>
              <w:rPr>
                <w:rFonts w:ascii="Times New Roman" w:eastAsiaTheme="minorHAnsi" w:hAnsi="Times New Roman" w:cs="Times New Roman"/>
                <w:color w:val="auto"/>
                <w:lang w:eastAsia="en-US" w:bidi="ar-SA"/>
              </w:rPr>
            </w:pPr>
          </w:p>
          <w:p w14:paraId="2F497D84" w14:textId="35EE47F1" w:rsidR="006E2AE9" w:rsidRDefault="001F1739" w:rsidP="00E26734">
            <w:pPr>
              <w:pStyle w:val="Paragrafoelenco"/>
              <w:numPr>
                <w:ilvl w:val="0"/>
                <w:numId w:val="10"/>
              </w:numPr>
              <w:autoSpaceDE w:val="0"/>
              <w:autoSpaceDN w:val="0"/>
              <w:adjustRightInd w:val="0"/>
              <w:jc w:val="both"/>
              <w:rPr>
                <w:rFonts w:ascii="Times New Roman" w:hAnsi="Times New Roman" w:cs="Times New Roman"/>
                <w:sz w:val="24"/>
                <w:szCs w:val="24"/>
              </w:rPr>
            </w:pPr>
            <w:r w:rsidRPr="00387D77">
              <w:rPr>
                <w:rFonts w:ascii="Times New Roman" w:hAnsi="Times New Roman" w:cs="Times New Roman"/>
                <w:sz w:val="24"/>
                <w:szCs w:val="24"/>
              </w:rPr>
              <w:t>avere codici allevamento delle zone svantaggiate di montagna nei quali il mantenimento dell’attività zootecnica contribuisce alla manutenzione del territorio e contrasta l’abbandono delle aree rurali</w:t>
            </w:r>
            <w:r w:rsidR="00387D77" w:rsidRPr="00387D77">
              <w:rPr>
                <w:rFonts w:ascii="Times New Roman" w:hAnsi="Times New Roman" w:cs="Times New Roman"/>
                <w:sz w:val="24"/>
                <w:szCs w:val="24"/>
              </w:rPr>
              <w:t>;</w:t>
            </w:r>
          </w:p>
          <w:p w14:paraId="114AC1B8" w14:textId="77777777" w:rsidR="00E26734" w:rsidRPr="00E26734" w:rsidRDefault="00E26734" w:rsidP="00E26734">
            <w:pPr>
              <w:pStyle w:val="Paragrafoelenco"/>
              <w:autoSpaceDE w:val="0"/>
              <w:autoSpaceDN w:val="0"/>
              <w:adjustRightInd w:val="0"/>
              <w:jc w:val="both"/>
              <w:rPr>
                <w:rFonts w:ascii="Times New Roman" w:hAnsi="Times New Roman" w:cs="Times New Roman"/>
                <w:sz w:val="24"/>
                <w:szCs w:val="24"/>
              </w:rPr>
            </w:pPr>
          </w:p>
          <w:p w14:paraId="70E301D7" w14:textId="49891861" w:rsidR="00276420" w:rsidRDefault="00276420" w:rsidP="006E2AE9">
            <w:pPr>
              <w:pStyle w:val="Paragrafoelenco"/>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ed in aggiunta</w:t>
            </w:r>
            <w:r w:rsidRPr="00276420">
              <w:rPr>
                <w:rFonts w:ascii="Times New Roman" w:hAnsi="Times New Roman" w:cs="Times New Roman"/>
                <w:sz w:val="24"/>
                <w:szCs w:val="24"/>
              </w:rPr>
              <w:t xml:space="preserve"> </w:t>
            </w:r>
            <w:r>
              <w:rPr>
                <w:rFonts w:ascii="Times New Roman" w:hAnsi="Times New Roman" w:cs="Times New Roman"/>
                <w:sz w:val="24"/>
                <w:szCs w:val="24"/>
              </w:rPr>
              <w:t>p</w:t>
            </w:r>
            <w:r w:rsidRPr="00276420">
              <w:rPr>
                <w:rFonts w:ascii="Times New Roman" w:hAnsi="Times New Roman" w:cs="Times New Roman"/>
                <w:sz w:val="24"/>
                <w:szCs w:val="24"/>
              </w:rPr>
              <w:t>er l’anno campagna 2022</w:t>
            </w:r>
            <w:r>
              <w:rPr>
                <w:rFonts w:ascii="Times New Roman" w:hAnsi="Times New Roman" w:cs="Times New Roman"/>
                <w:sz w:val="24"/>
                <w:szCs w:val="24"/>
              </w:rPr>
              <w:t>:</w:t>
            </w:r>
          </w:p>
          <w:p w14:paraId="0AE6169D" w14:textId="4CC49142" w:rsidR="006E2AE9" w:rsidRPr="00276420" w:rsidRDefault="006E2AE9" w:rsidP="00E26734">
            <w:pPr>
              <w:pStyle w:val="Paragrafoelenco"/>
              <w:numPr>
                <w:ilvl w:val="0"/>
                <w:numId w:val="10"/>
              </w:numPr>
              <w:autoSpaceDE w:val="0"/>
              <w:autoSpaceDN w:val="0"/>
              <w:adjustRightInd w:val="0"/>
              <w:spacing w:after="0"/>
              <w:jc w:val="both"/>
              <w:rPr>
                <w:rFonts w:ascii="Times New Roman" w:hAnsi="Times New Roman" w:cs="Times New Roman"/>
                <w:sz w:val="24"/>
                <w:szCs w:val="24"/>
              </w:rPr>
            </w:pPr>
            <w:r w:rsidRPr="00276420">
              <w:rPr>
                <w:rFonts w:ascii="Times New Roman" w:hAnsi="Times New Roman" w:cs="Times New Roman"/>
                <w:sz w:val="24"/>
                <w:szCs w:val="24"/>
              </w:rPr>
              <w:t xml:space="preserve">gli allevamenti richiedenti il premio devono essere </w:t>
            </w:r>
            <w:r w:rsidR="00D27684">
              <w:rPr>
                <w:rFonts w:ascii="Times New Roman" w:hAnsi="Times New Roman" w:cs="Times New Roman"/>
                <w:sz w:val="24"/>
                <w:szCs w:val="24"/>
              </w:rPr>
              <w:t>assoggettati alla condizionalità e al</w:t>
            </w:r>
            <w:r w:rsidR="00D27684" w:rsidRPr="002A68CD">
              <w:rPr>
                <w:rFonts w:ascii="Times New Roman" w:hAnsi="Times New Roman" w:cs="Times New Roman"/>
                <w:sz w:val="24"/>
                <w:szCs w:val="24"/>
              </w:rPr>
              <w:t>le pratiche agricole benefiche per il clima e l'ambiente (</w:t>
            </w:r>
            <w:proofErr w:type="spellStart"/>
            <w:r w:rsidR="00D27684" w:rsidRPr="002A68CD">
              <w:rPr>
                <w:rFonts w:ascii="Times New Roman" w:hAnsi="Times New Roman" w:cs="Times New Roman"/>
                <w:sz w:val="24"/>
                <w:szCs w:val="24"/>
              </w:rPr>
              <w:t>greening</w:t>
            </w:r>
            <w:proofErr w:type="spellEnd"/>
            <w:r w:rsidR="00D27684" w:rsidRPr="002A68CD">
              <w:rPr>
                <w:rFonts w:ascii="Times New Roman" w:hAnsi="Times New Roman" w:cs="Times New Roman"/>
                <w:sz w:val="24"/>
                <w:szCs w:val="24"/>
              </w:rPr>
              <w:t>)</w:t>
            </w:r>
            <w:r w:rsidR="00D27684">
              <w:rPr>
                <w:rFonts w:ascii="Times New Roman" w:hAnsi="Times New Roman" w:cs="Times New Roman"/>
                <w:sz w:val="24"/>
                <w:szCs w:val="24"/>
              </w:rPr>
              <w:t xml:space="preserve"> in quanto </w:t>
            </w:r>
            <w:r w:rsidRPr="00276420">
              <w:rPr>
                <w:rFonts w:ascii="Times New Roman" w:hAnsi="Times New Roman" w:cs="Times New Roman"/>
                <w:sz w:val="24"/>
                <w:szCs w:val="24"/>
              </w:rPr>
              <w:t>beneficiari di pagamenti diretti ai sensi del regolamento (UE) n. 1307/2013</w:t>
            </w:r>
            <w:r w:rsidR="00636812">
              <w:rPr>
                <w:rFonts w:ascii="Times New Roman" w:hAnsi="Times New Roman" w:cs="Times New Roman"/>
                <w:sz w:val="24"/>
                <w:szCs w:val="24"/>
              </w:rPr>
              <w:t xml:space="preserve">. </w:t>
            </w:r>
            <w:r w:rsidR="00D75ED6">
              <w:rPr>
                <w:rFonts w:ascii="Times New Roman" w:hAnsi="Times New Roman" w:cs="Times New Roman"/>
                <w:sz w:val="24"/>
                <w:szCs w:val="24"/>
              </w:rPr>
              <w:t xml:space="preserve">Inoltre, al momento del pagamento per la misura 22, tali beneficiari non devono aver avuto sanzioni in relazione alla condizionalità e al </w:t>
            </w:r>
            <w:proofErr w:type="spellStart"/>
            <w:r w:rsidR="00D75ED6">
              <w:rPr>
                <w:rFonts w:ascii="Times New Roman" w:hAnsi="Times New Roman" w:cs="Times New Roman"/>
                <w:sz w:val="24"/>
                <w:szCs w:val="24"/>
              </w:rPr>
              <w:t>greening</w:t>
            </w:r>
            <w:proofErr w:type="spellEnd"/>
            <w:r w:rsidR="00D75ED6">
              <w:rPr>
                <w:rFonts w:ascii="Times New Roman" w:hAnsi="Times New Roman" w:cs="Times New Roman"/>
                <w:sz w:val="24"/>
                <w:szCs w:val="24"/>
              </w:rPr>
              <w:t xml:space="preserve"> </w:t>
            </w:r>
            <w:r w:rsidR="006F5E78">
              <w:rPr>
                <w:rFonts w:ascii="Times New Roman" w:hAnsi="Times New Roman" w:cs="Times New Roman"/>
                <w:sz w:val="24"/>
                <w:szCs w:val="24"/>
              </w:rPr>
              <w:t>per le campagne 2021 e 2022</w:t>
            </w:r>
            <w:r w:rsidR="00D75ED6">
              <w:rPr>
                <w:rFonts w:ascii="Times New Roman" w:hAnsi="Times New Roman" w:cs="Times New Roman"/>
                <w:sz w:val="24"/>
                <w:szCs w:val="24"/>
              </w:rPr>
              <w:t xml:space="preserve">. </w:t>
            </w:r>
          </w:p>
          <w:p w14:paraId="37FE33A4" w14:textId="77777777" w:rsidR="006E2AE9" w:rsidRPr="00276420" w:rsidRDefault="006E2AE9" w:rsidP="00E26734">
            <w:pPr>
              <w:autoSpaceDE w:val="0"/>
              <w:autoSpaceDN w:val="0"/>
              <w:adjustRightInd w:val="0"/>
              <w:jc w:val="both"/>
              <w:rPr>
                <w:rFonts w:ascii="Times New Roman" w:eastAsiaTheme="minorHAnsi" w:hAnsi="Times New Roman" w:cs="Times New Roman"/>
                <w:color w:val="auto"/>
                <w:lang w:eastAsia="en-US" w:bidi="ar-SA"/>
              </w:rPr>
            </w:pPr>
            <w:r w:rsidRPr="00276420">
              <w:rPr>
                <w:rFonts w:ascii="Times New Roman" w:eastAsiaTheme="minorHAnsi" w:hAnsi="Times New Roman" w:cs="Times New Roman"/>
                <w:color w:val="auto"/>
                <w:lang w:eastAsia="en-US" w:bidi="ar-SA"/>
              </w:rPr>
              <w:t>e/o</w:t>
            </w:r>
          </w:p>
          <w:p w14:paraId="2E0FF3AB" w14:textId="77777777" w:rsidR="006E2AE9" w:rsidRPr="00276420" w:rsidRDefault="006E2AE9" w:rsidP="00E26734">
            <w:pPr>
              <w:pStyle w:val="Paragrafoelenco"/>
              <w:spacing w:after="0"/>
              <w:rPr>
                <w:rFonts w:ascii="Times New Roman" w:hAnsi="Times New Roman" w:cs="Times New Roman"/>
                <w:sz w:val="24"/>
                <w:szCs w:val="24"/>
              </w:rPr>
            </w:pPr>
          </w:p>
          <w:p w14:paraId="3963768B" w14:textId="2C055F34" w:rsidR="002665F4" w:rsidRPr="004B5643" w:rsidRDefault="004B5643" w:rsidP="00D27684">
            <w:pPr>
              <w:pStyle w:val="Paragrafoelenco"/>
              <w:numPr>
                <w:ilvl w:val="0"/>
                <w:numId w:val="10"/>
              </w:numPr>
              <w:autoSpaceDE w:val="0"/>
              <w:autoSpaceDN w:val="0"/>
              <w:adjustRightInd w:val="0"/>
              <w:spacing w:after="0"/>
              <w:jc w:val="both"/>
              <w:rPr>
                <w:rFonts w:ascii="Times New Roman" w:hAnsi="Times New Roman" w:cs="Times New Roman"/>
                <w:sz w:val="24"/>
                <w:szCs w:val="24"/>
              </w:rPr>
            </w:pPr>
            <w:r w:rsidRPr="00276420">
              <w:rPr>
                <w:rFonts w:ascii="Times New Roman" w:hAnsi="Times New Roman" w:cs="Times New Roman"/>
                <w:sz w:val="24"/>
                <w:szCs w:val="24"/>
              </w:rPr>
              <w:t xml:space="preserve">gli allevamenti richiedenti il premio devono essere beneficiari </w:t>
            </w:r>
            <w:r>
              <w:rPr>
                <w:rFonts w:ascii="Times New Roman" w:hAnsi="Times New Roman" w:cs="Times New Roman"/>
                <w:sz w:val="24"/>
                <w:szCs w:val="24"/>
              </w:rPr>
              <w:t xml:space="preserve">di uno o più </w:t>
            </w:r>
            <w:r w:rsidRPr="00276420">
              <w:rPr>
                <w:rFonts w:ascii="Times New Roman" w:hAnsi="Times New Roman" w:cs="Times New Roman"/>
                <w:sz w:val="24"/>
                <w:szCs w:val="24"/>
              </w:rPr>
              <w:t xml:space="preserve">dei premi annuali previsti </w:t>
            </w:r>
            <w:r w:rsidR="004E4233" w:rsidRPr="00276420">
              <w:rPr>
                <w:rFonts w:ascii="Times New Roman" w:hAnsi="Times New Roman" w:cs="Times New Roman"/>
                <w:sz w:val="24"/>
                <w:szCs w:val="24"/>
              </w:rPr>
              <w:t xml:space="preserve">dall'articolo 21, paragrafo 1, lettere a) e b), </w:t>
            </w:r>
            <w:r w:rsidRPr="00276420">
              <w:rPr>
                <w:rFonts w:ascii="Times New Roman" w:hAnsi="Times New Roman" w:cs="Times New Roman"/>
                <w:sz w:val="24"/>
                <w:szCs w:val="24"/>
              </w:rPr>
              <w:t>dagli articoli da 28 a 31</w:t>
            </w:r>
            <w:r>
              <w:rPr>
                <w:rFonts w:ascii="Times New Roman" w:hAnsi="Times New Roman" w:cs="Times New Roman"/>
                <w:sz w:val="24"/>
                <w:szCs w:val="24"/>
              </w:rPr>
              <w:t xml:space="preserve"> </w:t>
            </w:r>
            <w:r w:rsidRPr="00276420">
              <w:rPr>
                <w:rFonts w:ascii="Times New Roman" w:hAnsi="Times New Roman" w:cs="Times New Roman"/>
                <w:sz w:val="24"/>
                <w:szCs w:val="24"/>
              </w:rPr>
              <w:t xml:space="preserve">del regolamento (UE) n. 1305/2013 e pertanto rispettare i relativi </w:t>
            </w:r>
            <w:proofErr w:type="gramStart"/>
            <w:r w:rsidRPr="00276420">
              <w:rPr>
                <w:rFonts w:ascii="Times New Roman" w:hAnsi="Times New Roman" w:cs="Times New Roman"/>
                <w:sz w:val="24"/>
                <w:szCs w:val="24"/>
              </w:rPr>
              <w:t>obblighi  di</w:t>
            </w:r>
            <w:proofErr w:type="gramEnd"/>
            <w:r w:rsidRPr="00276420">
              <w:rPr>
                <w:rFonts w:ascii="Times New Roman" w:hAnsi="Times New Roman" w:cs="Times New Roman"/>
                <w:sz w:val="24"/>
                <w:szCs w:val="24"/>
              </w:rPr>
              <w:t xml:space="preserve"> condizionalità ai sensi del REG UE n. 1306/2013.</w:t>
            </w:r>
            <w:r w:rsidR="00D27684">
              <w:rPr>
                <w:rFonts w:ascii="Times New Roman" w:hAnsi="Times New Roman" w:cs="Times New Roman"/>
                <w:sz w:val="24"/>
                <w:szCs w:val="24"/>
              </w:rPr>
              <w:t xml:space="preserve"> </w:t>
            </w:r>
            <w:r w:rsidR="00D75ED6">
              <w:rPr>
                <w:rFonts w:ascii="Times New Roman" w:hAnsi="Times New Roman" w:cs="Times New Roman"/>
                <w:sz w:val="24"/>
                <w:szCs w:val="24"/>
              </w:rPr>
              <w:t>Inoltre</w:t>
            </w:r>
            <w:r w:rsidR="00D75ED6" w:rsidRPr="00D75ED6">
              <w:rPr>
                <w:rFonts w:ascii="Times New Roman" w:hAnsi="Times New Roman" w:cs="Times New Roman"/>
                <w:sz w:val="24"/>
                <w:szCs w:val="24"/>
              </w:rPr>
              <w:t xml:space="preserve">, al momento del pagamento per la misura 22, </w:t>
            </w:r>
            <w:r w:rsidR="00D75ED6">
              <w:rPr>
                <w:rFonts w:ascii="Times New Roman" w:hAnsi="Times New Roman" w:cs="Times New Roman"/>
                <w:sz w:val="24"/>
                <w:szCs w:val="24"/>
              </w:rPr>
              <w:t xml:space="preserve">tali beneficiari non devono aver avuto sanzioni in relazione alla condizionalità </w:t>
            </w:r>
            <w:r w:rsidR="006F5E78">
              <w:rPr>
                <w:rFonts w:ascii="Times New Roman" w:hAnsi="Times New Roman" w:cs="Times New Roman"/>
                <w:sz w:val="24"/>
                <w:szCs w:val="24"/>
              </w:rPr>
              <w:t>per le campagne 2021 e 2022</w:t>
            </w:r>
            <w:r w:rsidR="00D75ED6">
              <w:rPr>
                <w:rFonts w:ascii="Times New Roman" w:hAnsi="Times New Roman" w:cs="Times New Roman"/>
                <w:sz w:val="24"/>
                <w:szCs w:val="24"/>
              </w:rPr>
              <w:t>.</w:t>
            </w:r>
          </w:p>
        </w:tc>
      </w:tr>
    </w:tbl>
    <w:p w14:paraId="7A8851A1" w14:textId="77777777" w:rsidR="00A835DA" w:rsidRPr="00512269" w:rsidRDefault="00A835DA" w:rsidP="00A835DA">
      <w:pPr>
        <w:pStyle w:val="Titolo6"/>
        <w:numPr>
          <w:ilvl w:val="0"/>
          <w:numId w:val="0"/>
        </w:numPr>
        <w:rPr>
          <w:lang w:val="it-IT"/>
        </w:rPr>
      </w:pPr>
      <w:r w:rsidRPr="00512269">
        <w:rPr>
          <w:lang w:val="it-IT"/>
        </w:rPr>
        <w:lastRenderedPageBreak/>
        <w:t>Principi concernenti la fissazione dei criteri di selezione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14:paraId="432CE5FB"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5AB0940F" w14:textId="4D300D9E" w:rsidR="001D0945" w:rsidRPr="00CD7A90" w:rsidRDefault="00CD7A90" w:rsidP="003C12A1">
            <w:pPr>
              <w:widowControl/>
              <w:suppressAutoHyphens w:val="0"/>
              <w:autoSpaceDE w:val="0"/>
              <w:autoSpaceDN w:val="0"/>
              <w:adjustRightInd w:val="0"/>
              <w:jc w:val="both"/>
              <w:rPr>
                <w:rFonts w:ascii="TimesNewRomanPSMT" w:eastAsiaTheme="minorHAnsi" w:hAnsi="TimesNewRomanPSMT" w:cs="TimesNewRomanPSMT"/>
                <w:color w:val="auto"/>
                <w:lang w:eastAsia="en-US" w:bidi="ar-SA"/>
              </w:rPr>
            </w:pPr>
            <w:r>
              <w:rPr>
                <w:rFonts w:ascii="TimesNewRomanPSMT" w:eastAsiaTheme="minorHAnsi" w:hAnsi="TimesNewRomanPSMT" w:cs="TimesNewRomanPSMT"/>
                <w:color w:val="auto"/>
                <w:lang w:eastAsia="en-US" w:bidi="ar-SA"/>
              </w:rPr>
              <w:t xml:space="preserve">La tipologia di operazione beneficia dell’eccezione di cui all’art. 49, paragrafo 2, del Regolamento UE </w:t>
            </w:r>
            <w:r w:rsidR="00387D77" w:rsidRPr="00387D77">
              <w:rPr>
                <w:rFonts w:ascii="TimesNewRomanPSMT" w:eastAsiaTheme="minorHAnsi" w:hAnsi="TimesNewRomanPSMT" w:cs="TimesNewRomanPSMT"/>
                <w:color w:val="auto"/>
                <w:lang w:eastAsia="en-US" w:bidi="ar-SA"/>
              </w:rPr>
              <w:t>n. 1305/2013, così come modificato dal Regolamento (UE) n.2022/1033</w:t>
            </w:r>
            <w:r>
              <w:rPr>
                <w:rFonts w:ascii="TimesNewRomanPSMT" w:eastAsiaTheme="minorHAnsi" w:hAnsi="TimesNewRomanPSMT" w:cs="TimesNewRomanPSMT"/>
                <w:color w:val="auto"/>
                <w:lang w:eastAsia="en-US" w:bidi="ar-SA"/>
              </w:rPr>
              <w:t>, pertanto alla stessa non si applicano i criteri di selezione delle operazioni. Ciascuna domanda ammissibile riceverà il contributo pubblico spettante ai sensi della presente tipologia di operazione.</w:t>
            </w:r>
          </w:p>
        </w:tc>
      </w:tr>
    </w:tbl>
    <w:p w14:paraId="2C7FA28E" w14:textId="77777777" w:rsidR="00A835DA" w:rsidRPr="00512269" w:rsidRDefault="00A835DA" w:rsidP="00A835DA">
      <w:pPr>
        <w:pStyle w:val="Titolo6"/>
        <w:numPr>
          <w:ilvl w:val="0"/>
          <w:numId w:val="0"/>
        </w:numPr>
        <w:rPr>
          <w:lang w:val="it-IT"/>
        </w:rPr>
      </w:pPr>
      <w:r w:rsidRPr="00512269">
        <w:rPr>
          <w:lang w:val="it-IT"/>
        </w:rPr>
        <w:t>Importi e aliquote di sostegno (applicabili)</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0D81B592"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1A4B8688" w14:textId="056C3524" w:rsidR="0096237A" w:rsidRDefault="00A835DA" w:rsidP="004803B9">
            <w:pPr>
              <w:spacing w:before="240" w:after="240"/>
              <w:rPr>
                <w:rFonts w:ascii="Times New Roman" w:hAnsi="Times New Roman" w:cs="Times New Roman"/>
              </w:rPr>
            </w:pPr>
            <w:r w:rsidRPr="0096237A">
              <w:rPr>
                <w:rFonts w:ascii="Times New Roman" w:hAnsi="Times New Roman" w:cs="Times New Roman"/>
              </w:rPr>
              <w:t xml:space="preserve">L’importo </w:t>
            </w:r>
            <w:r w:rsidR="00521D32" w:rsidRPr="0096237A">
              <w:rPr>
                <w:rFonts w:ascii="Times New Roman" w:hAnsi="Times New Roman" w:cs="Times New Roman"/>
              </w:rPr>
              <w:t>erogato a ciascun beneficiario sarà</w:t>
            </w:r>
            <w:r w:rsidR="0096237A" w:rsidRPr="0096237A">
              <w:rPr>
                <w:rFonts w:ascii="Times New Roman" w:hAnsi="Times New Roman" w:cs="Times New Roman"/>
              </w:rPr>
              <w:t xml:space="preserve"> a seconda della dimensione aziendale (calcolato sulle </w:t>
            </w:r>
            <w:proofErr w:type="gramStart"/>
            <w:r w:rsidR="0096237A" w:rsidRPr="0096237A">
              <w:rPr>
                <w:rFonts w:ascii="Times New Roman" w:hAnsi="Times New Roman" w:cs="Times New Roman"/>
              </w:rPr>
              <w:t>UBA)</w:t>
            </w:r>
            <w:r w:rsidR="0096237A">
              <w:rPr>
                <w:rFonts w:ascii="Times New Roman" w:hAnsi="Times New Roman" w:cs="Times New Roman"/>
              </w:rPr>
              <w:t xml:space="preserve">  come</w:t>
            </w:r>
            <w:proofErr w:type="gramEnd"/>
            <w:r w:rsidR="0096237A">
              <w:rPr>
                <w:rFonts w:ascii="Times New Roman" w:hAnsi="Times New Roman" w:cs="Times New Roman"/>
              </w:rPr>
              <w:t xml:space="preserve"> di seguito indicato</w:t>
            </w:r>
            <w:r w:rsidR="002665F4" w:rsidRPr="00387D77">
              <w:rPr>
                <w:rFonts w:ascii="Times New Roman" w:hAnsi="Times New Roman" w:cs="Times New Roman"/>
              </w:rPr>
              <w:t>:</w:t>
            </w:r>
          </w:p>
          <w:tbl>
            <w:tblPr>
              <w:tblStyle w:val="Grigliatabella"/>
              <w:tblW w:w="0" w:type="auto"/>
              <w:tblLook w:val="04A0" w:firstRow="1" w:lastRow="0" w:firstColumn="1" w:lastColumn="0" w:noHBand="0" w:noVBand="1"/>
            </w:tblPr>
            <w:tblGrid>
              <w:gridCol w:w="3036"/>
              <w:gridCol w:w="3036"/>
              <w:gridCol w:w="3036"/>
            </w:tblGrid>
            <w:tr w:rsidR="0096237A" w14:paraId="791F7FF9" w14:textId="77777777" w:rsidTr="0096237A">
              <w:tc>
                <w:tcPr>
                  <w:tcW w:w="3036" w:type="dxa"/>
                </w:tcPr>
                <w:p w14:paraId="190803B1" w14:textId="66EED8E7" w:rsidR="0096237A" w:rsidRDefault="00E26734" w:rsidP="004803B9">
                  <w:pPr>
                    <w:spacing w:before="240" w:after="240"/>
                    <w:rPr>
                      <w:rFonts w:ascii="Times New Roman" w:hAnsi="Times New Roman" w:cs="Times New Roman"/>
                    </w:rPr>
                  </w:pPr>
                  <w:r>
                    <w:rPr>
                      <w:rFonts w:ascii="Times New Roman" w:hAnsi="Times New Roman" w:cs="Times New Roman"/>
                    </w:rPr>
                    <w:lastRenderedPageBreak/>
                    <w:t>Comparto Produttivo</w:t>
                  </w:r>
                </w:p>
              </w:tc>
              <w:tc>
                <w:tcPr>
                  <w:tcW w:w="3036" w:type="dxa"/>
                </w:tcPr>
                <w:p w14:paraId="638266CE" w14:textId="20761531" w:rsidR="0096237A" w:rsidRDefault="00E26734" w:rsidP="004803B9">
                  <w:pPr>
                    <w:spacing w:before="240" w:after="240"/>
                    <w:rPr>
                      <w:rFonts w:ascii="Times New Roman" w:hAnsi="Times New Roman" w:cs="Times New Roman"/>
                    </w:rPr>
                  </w:pPr>
                  <w:r>
                    <w:rPr>
                      <w:rFonts w:ascii="Times New Roman" w:hAnsi="Times New Roman" w:cs="Times New Roman"/>
                    </w:rPr>
                    <w:t>Dimensione Aziendale</w:t>
                  </w:r>
                </w:p>
              </w:tc>
              <w:tc>
                <w:tcPr>
                  <w:tcW w:w="3036" w:type="dxa"/>
                </w:tcPr>
                <w:p w14:paraId="1CAECDF2" w14:textId="0F9C7731" w:rsidR="0096237A" w:rsidRDefault="00473E20" w:rsidP="004803B9">
                  <w:pPr>
                    <w:spacing w:before="240" w:after="240"/>
                    <w:rPr>
                      <w:rFonts w:ascii="Times New Roman" w:hAnsi="Times New Roman" w:cs="Times New Roman"/>
                    </w:rPr>
                  </w:pPr>
                  <w:r>
                    <w:rPr>
                      <w:rFonts w:ascii="Times New Roman" w:hAnsi="Times New Roman" w:cs="Times New Roman"/>
                    </w:rPr>
                    <w:t>Contributo</w:t>
                  </w:r>
                  <w:r w:rsidR="00E26734">
                    <w:rPr>
                      <w:rFonts w:ascii="Times New Roman" w:hAnsi="Times New Roman" w:cs="Times New Roman"/>
                    </w:rPr>
                    <w:t xml:space="preserve"> (Euro)</w:t>
                  </w:r>
                </w:p>
              </w:tc>
            </w:tr>
            <w:tr w:rsidR="00E26734" w14:paraId="06F31CE0" w14:textId="77777777" w:rsidTr="0096237A">
              <w:tc>
                <w:tcPr>
                  <w:tcW w:w="3036" w:type="dxa"/>
                  <w:vMerge w:val="restart"/>
                </w:tcPr>
                <w:p w14:paraId="68365711" w14:textId="77777777" w:rsidR="00E26734" w:rsidRDefault="00E26734" w:rsidP="004803B9">
                  <w:pPr>
                    <w:spacing w:before="240" w:after="240"/>
                    <w:rPr>
                      <w:rFonts w:ascii="Times New Roman" w:hAnsi="Times New Roman" w:cs="Times New Roman"/>
                    </w:rPr>
                  </w:pPr>
                </w:p>
                <w:p w14:paraId="487D631A" w14:textId="1B7EBD71" w:rsidR="00E26734" w:rsidRDefault="00E26734" w:rsidP="00E26734">
                  <w:pPr>
                    <w:spacing w:before="240" w:after="240"/>
                    <w:jc w:val="center"/>
                    <w:rPr>
                      <w:rFonts w:ascii="Times New Roman" w:hAnsi="Times New Roman" w:cs="Times New Roman"/>
                    </w:rPr>
                  </w:pPr>
                  <w:r>
                    <w:rPr>
                      <w:rFonts w:ascii="Times New Roman" w:hAnsi="Times New Roman" w:cs="Times New Roman"/>
                    </w:rPr>
                    <w:t>Suinicolo</w:t>
                  </w:r>
                </w:p>
              </w:tc>
              <w:tc>
                <w:tcPr>
                  <w:tcW w:w="3036" w:type="dxa"/>
                </w:tcPr>
                <w:p w14:paraId="0D4FA8CD" w14:textId="567611E1" w:rsidR="00E26734" w:rsidRDefault="00E26734" w:rsidP="004803B9">
                  <w:pPr>
                    <w:spacing w:before="240" w:after="240"/>
                    <w:rPr>
                      <w:rFonts w:ascii="Times New Roman" w:hAnsi="Times New Roman" w:cs="Times New Roman"/>
                    </w:rPr>
                  </w:pPr>
                  <w:r>
                    <w:rPr>
                      <w:rFonts w:ascii="Times New Roman" w:hAnsi="Times New Roman" w:cs="Times New Roman"/>
                    </w:rPr>
                    <w:t>10 &lt; UBA &gt; uguale 500</w:t>
                  </w:r>
                </w:p>
              </w:tc>
              <w:tc>
                <w:tcPr>
                  <w:tcW w:w="3036" w:type="dxa"/>
                </w:tcPr>
                <w:p w14:paraId="440B7778" w14:textId="5B4EEBC6" w:rsidR="00E26734" w:rsidRDefault="00E26734" w:rsidP="004803B9">
                  <w:pPr>
                    <w:spacing w:before="240" w:after="240"/>
                    <w:rPr>
                      <w:rFonts w:ascii="Times New Roman" w:hAnsi="Times New Roman" w:cs="Times New Roman"/>
                    </w:rPr>
                  </w:pPr>
                  <w:r>
                    <w:rPr>
                      <w:rFonts w:ascii="Times New Roman" w:hAnsi="Times New Roman" w:cs="Times New Roman"/>
                    </w:rPr>
                    <w:t>7.000</w:t>
                  </w:r>
                </w:p>
              </w:tc>
            </w:tr>
            <w:tr w:rsidR="00E26734" w14:paraId="120D0993" w14:textId="77777777" w:rsidTr="0096237A">
              <w:tc>
                <w:tcPr>
                  <w:tcW w:w="3036" w:type="dxa"/>
                  <w:vMerge/>
                </w:tcPr>
                <w:p w14:paraId="37A76E87" w14:textId="5A72DBC8" w:rsidR="00E26734" w:rsidRDefault="00E26734" w:rsidP="004803B9">
                  <w:pPr>
                    <w:spacing w:before="240" w:after="240"/>
                    <w:rPr>
                      <w:rFonts w:ascii="Times New Roman" w:hAnsi="Times New Roman" w:cs="Times New Roman"/>
                    </w:rPr>
                  </w:pPr>
                </w:p>
              </w:tc>
              <w:tc>
                <w:tcPr>
                  <w:tcW w:w="3036" w:type="dxa"/>
                </w:tcPr>
                <w:p w14:paraId="2D4810E1" w14:textId="4FF19C0F" w:rsidR="00E26734" w:rsidRPr="00E26734" w:rsidRDefault="00E26734" w:rsidP="00E26734">
                  <w:pPr>
                    <w:spacing w:before="240" w:after="240"/>
                    <w:rPr>
                      <w:rFonts w:ascii="Times New Roman" w:hAnsi="Times New Roman" w:cs="Times New Roman"/>
                    </w:rPr>
                  </w:pPr>
                  <w:r>
                    <w:rPr>
                      <w:rFonts w:ascii="Times New Roman" w:hAnsi="Times New Roman" w:cs="Times New Roman"/>
                    </w:rPr>
                    <w:t xml:space="preserve"> &gt;500 UBA</w:t>
                  </w:r>
                </w:p>
              </w:tc>
              <w:tc>
                <w:tcPr>
                  <w:tcW w:w="3036" w:type="dxa"/>
                </w:tcPr>
                <w:p w14:paraId="40BC476D" w14:textId="7AEA85D8" w:rsidR="00E26734" w:rsidRDefault="00E26734" w:rsidP="004803B9">
                  <w:pPr>
                    <w:spacing w:before="240" w:after="240"/>
                    <w:rPr>
                      <w:rFonts w:ascii="Times New Roman" w:hAnsi="Times New Roman" w:cs="Times New Roman"/>
                    </w:rPr>
                  </w:pPr>
                  <w:r>
                    <w:rPr>
                      <w:rFonts w:ascii="Times New Roman" w:hAnsi="Times New Roman" w:cs="Times New Roman"/>
                    </w:rPr>
                    <w:t>15.000</w:t>
                  </w:r>
                </w:p>
              </w:tc>
            </w:tr>
            <w:tr w:rsidR="00E26734" w14:paraId="5699C4AC" w14:textId="77777777" w:rsidTr="0096237A">
              <w:tc>
                <w:tcPr>
                  <w:tcW w:w="3036" w:type="dxa"/>
                  <w:vMerge w:val="restart"/>
                </w:tcPr>
                <w:p w14:paraId="7C984827" w14:textId="77777777" w:rsidR="00E26734" w:rsidRDefault="00E26734" w:rsidP="00E26734">
                  <w:pPr>
                    <w:spacing w:before="240" w:after="240"/>
                    <w:rPr>
                      <w:rFonts w:ascii="Times New Roman" w:hAnsi="Times New Roman" w:cs="Times New Roman"/>
                    </w:rPr>
                  </w:pPr>
                </w:p>
                <w:p w14:paraId="1935123D" w14:textId="46D5367E" w:rsidR="00E26734" w:rsidRDefault="00E26734" w:rsidP="00E26734">
                  <w:pPr>
                    <w:spacing w:before="240" w:after="240"/>
                    <w:rPr>
                      <w:rFonts w:ascii="Times New Roman" w:hAnsi="Times New Roman" w:cs="Times New Roman"/>
                    </w:rPr>
                  </w:pPr>
                  <w:r>
                    <w:rPr>
                      <w:rFonts w:ascii="Times New Roman" w:hAnsi="Times New Roman" w:cs="Times New Roman"/>
                    </w:rPr>
                    <w:t>B</w:t>
                  </w:r>
                  <w:r w:rsidRPr="00E26734">
                    <w:rPr>
                      <w:rFonts w:ascii="Times New Roman" w:hAnsi="Times New Roman" w:cs="Times New Roman"/>
                    </w:rPr>
                    <w:t>ovino da latte in montagna</w:t>
                  </w:r>
                </w:p>
              </w:tc>
              <w:tc>
                <w:tcPr>
                  <w:tcW w:w="3036" w:type="dxa"/>
                </w:tcPr>
                <w:p w14:paraId="24096CBA" w14:textId="65B43EDA" w:rsidR="00E26734" w:rsidRDefault="008325D9" w:rsidP="00E26734">
                  <w:pPr>
                    <w:spacing w:before="240" w:after="240"/>
                    <w:rPr>
                      <w:rFonts w:ascii="Times New Roman" w:hAnsi="Times New Roman" w:cs="Times New Roman"/>
                    </w:rPr>
                  </w:pPr>
                  <w:r>
                    <w:rPr>
                      <w:rFonts w:ascii="Times New Roman" w:hAnsi="Times New Roman" w:cs="Times New Roman"/>
                    </w:rPr>
                    <w:t>5</w:t>
                  </w:r>
                  <w:r w:rsidR="00E26734">
                    <w:rPr>
                      <w:rFonts w:ascii="Times New Roman" w:hAnsi="Times New Roman" w:cs="Times New Roman"/>
                    </w:rPr>
                    <w:t xml:space="preserve"> &lt; UBA &gt; uguale 30</w:t>
                  </w:r>
                </w:p>
              </w:tc>
              <w:tc>
                <w:tcPr>
                  <w:tcW w:w="3036" w:type="dxa"/>
                </w:tcPr>
                <w:p w14:paraId="189CE8C0" w14:textId="1223120C" w:rsidR="00E26734" w:rsidRDefault="00E26734" w:rsidP="00E26734">
                  <w:pPr>
                    <w:spacing w:before="240" w:after="240"/>
                    <w:rPr>
                      <w:rFonts w:ascii="Times New Roman" w:hAnsi="Times New Roman" w:cs="Times New Roman"/>
                    </w:rPr>
                  </w:pPr>
                  <w:r>
                    <w:rPr>
                      <w:rFonts w:ascii="Times New Roman" w:hAnsi="Times New Roman" w:cs="Times New Roman"/>
                    </w:rPr>
                    <w:t>5.000</w:t>
                  </w:r>
                </w:p>
              </w:tc>
            </w:tr>
            <w:tr w:rsidR="00E26734" w14:paraId="15C0182D" w14:textId="77777777" w:rsidTr="0096237A">
              <w:tc>
                <w:tcPr>
                  <w:tcW w:w="3036" w:type="dxa"/>
                  <w:vMerge/>
                </w:tcPr>
                <w:p w14:paraId="641AD9CB" w14:textId="77777777" w:rsidR="00E26734" w:rsidRDefault="00E26734" w:rsidP="00E26734">
                  <w:pPr>
                    <w:spacing w:before="240" w:after="240"/>
                    <w:rPr>
                      <w:rFonts w:ascii="Times New Roman" w:hAnsi="Times New Roman" w:cs="Times New Roman"/>
                    </w:rPr>
                  </w:pPr>
                </w:p>
              </w:tc>
              <w:tc>
                <w:tcPr>
                  <w:tcW w:w="3036" w:type="dxa"/>
                </w:tcPr>
                <w:p w14:paraId="75221C61" w14:textId="25A6CA64" w:rsidR="00E26734" w:rsidRDefault="00E26734" w:rsidP="00E26734">
                  <w:pPr>
                    <w:spacing w:before="240" w:after="240"/>
                    <w:rPr>
                      <w:rFonts w:ascii="Times New Roman" w:hAnsi="Times New Roman" w:cs="Times New Roman"/>
                    </w:rPr>
                  </w:pPr>
                  <w:r>
                    <w:rPr>
                      <w:rFonts w:ascii="Times New Roman" w:hAnsi="Times New Roman" w:cs="Times New Roman"/>
                    </w:rPr>
                    <w:t xml:space="preserve"> &gt;30 UBA</w:t>
                  </w:r>
                </w:p>
              </w:tc>
              <w:tc>
                <w:tcPr>
                  <w:tcW w:w="3036" w:type="dxa"/>
                </w:tcPr>
                <w:p w14:paraId="38A7BB10" w14:textId="27CA7525" w:rsidR="00E26734" w:rsidRDefault="00E26734" w:rsidP="00E26734">
                  <w:pPr>
                    <w:spacing w:before="240" w:after="240"/>
                    <w:rPr>
                      <w:rFonts w:ascii="Times New Roman" w:hAnsi="Times New Roman" w:cs="Times New Roman"/>
                    </w:rPr>
                  </w:pPr>
                  <w:r>
                    <w:rPr>
                      <w:rFonts w:ascii="Times New Roman" w:hAnsi="Times New Roman" w:cs="Times New Roman"/>
                    </w:rPr>
                    <w:t>10.000</w:t>
                  </w:r>
                </w:p>
              </w:tc>
            </w:tr>
          </w:tbl>
          <w:p w14:paraId="60623AC4" w14:textId="77777777" w:rsidR="00A835DA" w:rsidRDefault="00A835DA" w:rsidP="00CD7A90">
            <w:pPr>
              <w:spacing w:before="240" w:after="240"/>
              <w:jc w:val="both"/>
              <w:rPr>
                <w:rFonts w:ascii="Times New Roman" w:hAnsi="Times New Roman" w:cs="Times New Roman"/>
              </w:rPr>
            </w:pPr>
            <w:r w:rsidRPr="00387D77">
              <w:rPr>
                <w:rFonts w:ascii="Times New Roman" w:hAnsi="Times New Roman" w:cs="Times New Roman"/>
              </w:rPr>
              <w:t>Nel caso in cui il numero di domande pervenute comportasse una spesa superiore alla dotazione della misura, il contributo sarà rideterminato in modo proporzionale per tutte le domande ammissibili</w:t>
            </w:r>
            <w:r w:rsidR="001D0945" w:rsidRPr="00387D77">
              <w:rPr>
                <w:rFonts w:ascii="Times New Roman" w:hAnsi="Times New Roman" w:cs="Times New Roman"/>
              </w:rPr>
              <w:t xml:space="preserve"> nell’ambito dello stesso comparto.</w:t>
            </w:r>
          </w:p>
          <w:p w14:paraId="378BE94B" w14:textId="0849D49B" w:rsidR="008F11F1" w:rsidRPr="00387D77" w:rsidRDefault="008F11F1" w:rsidP="00CD7A90">
            <w:pPr>
              <w:spacing w:before="240" w:after="240"/>
              <w:jc w:val="both"/>
              <w:rPr>
                <w:rFonts w:ascii="Times New Roman" w:hAnsi="Times New Roman" w:cs="Times New Roman"/>
              </w:rPr>
            </w:pPr>
            <w:r>
              <w:t xml:space="preserve">Nel definire i contributi da </w:t>
            </w:r>
            <w:r w:rsidRPr="00E15241">
              <w:rPr>
                <w:rFonts w:ascii="Times New Roman" w:hAnsi="Times New Roman" w:cs="Times New Roman"/>
              </w:rPr>
              <w:t>erogare ai comparti produt</w:t>
            </w:r>
            <w:r w:rsidR="00E15241" w:rsidRPr="00E15241">
              <w:rPr>
                <w:rFonts w:ascii="Times New Roman" w:hAnsi="Times New Roman" w:cs="Times New Roman"/>
              </w:rPr>
              <w:t>t</w:t>
            </w:r>
            <w:r w:rsidRPr="00E15241">
              <w:rPr>
                <w:rFonts w:ascii="Times New Roman" w:hAnsi="Times New Roman" w:cs="Times New Roman"/>
              </w:rPr>
              <w:t xml:space="preserve">ivi </w:t>
            </w:r>
            <w:r w:rsidR="00E15241" w:rsidRPr="00E15241">
              <w:rPr>
                <w:rFonts w:ascii="Times New Roman" w:hAnsi="Times New Roman" w:cs="Times New Roman"/>
              </w:rPr>
              <w:t xml:space="preserve">sopra indicati </w:t>
            </w:r>
            <w:r w:rsidRPr="00E15241">
              <w:rPr>
                <w:rFonts w:ascii="Times New Roman" w:hAnsi="Times New Roman" w:cs="Times New Roman"/>
              </w:rPr>
              <w:t>si  è considerat</w:t>
            </w:r>
            <w:r w:rsidR="00E15241" w:rsidRPr="00E15241">
              <w:rPr>
                <w:rFonts w:ascii="Times New Roman" w:hAnsi="Times New Roman" w:cs="Times New Roman"/>
              </w:rPr>
              <w:t>o</w:t>
            </w:r>
            <w:r w:rsidRPr="00E15241">
              <w:rPr>
                <w:rFonts w:ascii="Times New Roman" w:hAnsi="Times New Roman" w:cs="Times New Roman"/>
              </w:rPr>
              <w:t xml:space="preserve"> anche il sostegno concesso nell'ambito di altri strumenti di sostegno nazionali o </w:t>
            </w:r>
            <w:proofErr w:type="spellStart"/>
            <w:r w:rsidRPr="00E15241">
              <w:rPr>
                <w:rFonts w:ascii="Times New Roman" w:hAnsi="Times New Roman" w:cs="Times New Roman"/>
              </w:rPr>
              <w:t>unionali</w:t>
            </w:r>
            <w:proofErr w:type="spellEnd"/>
            <w:r w:rsidRPr="00E15241">
              <w:rPr>
                <w:rFonts w:ascii="Times New Roman" w:hAnsi="Times New Roman" w:cs="Times New Roman"/>
              </w:rPr>
              <w:t xml:space="preserve"> per rispondere all'impatto dell'invasione russa dell'Ucraina</w:t>
            </w:r>
            <w:r w:rsidR="00E15241" w:rsidRPr="00E15241">
              <w:rPr>
                <w:rFonts w:ascii="Times New Roman" w:hAnsi="Times New Roman" w:cs="Times New Roman"/>
              </w:rPr>
              <w:t>.</w:t>
            </w:r>
          </w:p>
        </w:tc>
      </w:tr>
    </w:tbl>
    <w:p w14:paraId="441F54EA" w14:textId="77777777" w:rsidR="00A835DA" w:rsidRPr="00512269" w:rsidRDefault="00A835DA" w:rsidP="00A835DA">
      <w:pPr>
        <w:pStyle w:val="Titolo6"/>
        <w:numPr>
          <w:ilvl w:val="0"/>
          <w:numId w:val="0"/>
        </w:numPr>
        <w:rPr>
          <w:lang w:val="it-IT"/>
        </w:rPr>
      </w:pPr>
      <w:r w:rsidRPr="00512269">
        <w:rPr>
          <w:lang w:val="it-IT"/>
        </w:rPr>
        <w:lastRenderedPageBreak/>
        <w:t>Verificabilità e controllabilità delle misure e/o dei tipi di interventi</w:t>
      </w:r>
    </w:p>
    <w:p w14:paraId="01097BAA" w14:textId="77777777" w:rsidR="00A835DA" w:rsidRPr="00512269" w:rsidRDefault="00A835DA" w:rsidP="00A835DA">
      <w:pPr>
        <w:pStyle w:val="Titolo7"/>
        <w:numPr>
          <w:ilvl w:val="0"/>
          <w:numId w:val="0"/>
        </w:numPr>
        <w:rPr>
          <w:lang w:val="it-IT"/>
        </w:rPr>
      </w:pPr>
      <w:r w:rsidRPr="00512269">
        <w:rPr>
          <w:lang w:val="it-IT"/>
        </w:rPr>
        <w:t>Rischio/rischi inerenti all'attuazione delle misure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76CA8BF9"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3702858F" w14:textId="3661D2F6" w:rsidR="00360576" w:rsidRPr="00387D77" w:rsidRDefault="00C0423E" w:rsidP="004803B9">
            <w:pPr>
              <w:spacing w:before="240" w:after="240"/>
              <w:rPr>
                <w:rFonts w:ascii="Times New Roman" w:hAnsi="Times New Roman" w:cs="Times New Roman"/>
              </w:rPr>
            </w:pPr>
            <w:r>
              <w:rPr>
                <w:noProof/>
              </w:rPr>
              <w:drawing>
                <wp:inline distT="0" distB="0" distL="0" distR="0" wp14:anchorId="61E70A32" wp14:editId="777F1067">
                  <wp:extent cx="5939790" cy="3663950"/>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39790" cy="3663950"/>
                          </a:xfrm>
                          <a:prstGeom prst="rect">
                            <a:avLst/>
                          </a:prstGeom>
                        </pic:spPr>
                      </pic:pic>
                    </a:graphicData>
                  </a:graphic>
                </wp:inline>
              </w:drawing>
            </w:r>
            <w:bookmarkStart w:id="1" w:name="_GoBack"/>
            <w:bookmarkEnd w:id="1"/>
          </w:p>
        </w:tc>
      </w:tr>
    </w:tbl>
    <w:p w14:paraId="5368C52B" w14:textId="77777777" w:rsidR="00A835DA" w:rsidRDefault="00A835DA" w:rsidP="00A835DA">
      <w:pPr>
        <w:pStyle w:val="Titolo7"/>
        <w:numPr>
          <w:ilvl w:val="0"/>
          <w:numId w:val="0"/>
        </w:numPr>
      </w:pPr>
      <w:r>
        <w:lastRenderedPageBreak/>
        <w:t>Misure di attenuazione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0E4ADF8F"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7560EA3E"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Si rimanda alla colonna “Elementi e modalità di controllo” della tabella di cui al precedente paragrafo “Rischio/rischi inerenti all'attuazione delle misure”.</w:t>
            </w:r>
          </w:p>
          <w:p w14:paraId="220754BF"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Tenuto conto del livello di rischio molto basso, non sono approntate misure di attenuazione particolari.</w:t>
            </w:r>
          </w:p>
        </w:tc>
      </w:tr>
    </w:tbl>
    <w:p w14:paraId="696F1EF4" w14:textId="77777777" w:rsidR="00A835DA" w:rsidRDefault="00A835DA" w:rsidP="00A835DA">
      <w:pPr>
        <w:pStyle w:val="Titolo7"/>
        <w:numPr>
          <w:ilvl w:val="0"/>
          <w:numId w:val="0"/>
        </w:numPr>
      </w:pPr>
      <w:r>
        <w:t>Valutazione generale della misura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61EDA5E5"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70364B5"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Nelle disposizioni attuative, al fine di rendere trasparenti le procedure ai potenziali beneficiari, saranno definiti puntualmente gli elementi per aderire all’operazione (modalità di presentazione delle domande e indicazione della specifica documentazione da allegare, tipologia beneficiari, condizioni di ammissibilità, impegni, limiti e divieti, importo dell’indennità, descrizione dei controlli che saranno effettuati e delle conseguenze per il mancato rispetto degli impegni).</w:t>
            </w:r>
          </w:p>
          <w:p w14:paraId="083B6D71"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Per assicurare che tutti i potenziali beneficiari siano a conoscenza delle opportunità offerte dall’operazione, le disposizioni attuative saranno pubblicate sul BURL della Regione Lombardia e sul sito istituzionale della Direzione Generale Agricoltura. Inoltre, l’Autorità di Gestione, organizzerà specifici incontri informativi per illustrare i contenuti dell’operazione, con particolare attenzione agli obiettivi della misura e del Programma.</w:t>
            </w:r>
          </w:p>
          <w:p w14:paraId="6AE23AED"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L’Autorità di Gestione e l’Organismo Pagatore Regionale organizzeranno specifici corsi di formazione per i funzionari responsabili dei controlli, al fine di assicurare uniformità nell’esecuzione delle verifiche. Nei corsi di formazione saranno illustrate le modalità di esecuzione dei controlli e di corretta compilazione delle apposite check list predisposte dall’Organismo Pagatore Regionale.</w:t>
            </w:r>
          </w:p>
          <w:p w14:paraId="03FB7CC1"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Sulla base di quanto descritto nei precedenti paragrafi, la misura non presenta profili di rischio particolari. Anche la semplicità delle modalità attuative (ridotto numero di condizioni di ammissibilità, contributo forfettario ed assenza di criteri di selezione) rendono la misura a basso rischio errore.</w:t>
            </w:r>
          </w:p>
        </w:tc>
      </w:tr>
    </w:tbl>
    <w:p w14:paraId="75021B5A" w14:textId="77777777" w:rsidR="00A835DA" w:rsidRPr="00512269" w:rsidRDefault="00A835DA" w:rsidP="00A835DA">
      <w:pPr>
        <w:pStyle w:val="Titolo6"/>
        <w:numPr>
          <w:ilvl w:val="0"/>
          <w:numId w:val="0"/>
        </w:numPr>
        <w:rPr>
          <w:lang w:val="it-IT"/>
        </w:rPr>
      </w:pPr>
      <w:r w:rsidRPr="00512269">
        <w:rPr>
          <w:lang w:val="it-IT"/>
        </w:rPr>
        <w:t>Metodo per il calcolo dell'importo o del tasso di sostegno, se del caso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14:paraId="74ACBE36"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CE051BD"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L’importo concesso viene definito sulla base delle risorse disponibili e della numerosità dei potenziali beneficiari, dovendo erogare l’aiuto a tutti i beneficiari che presentano i requisiti di ammissibilità previsti.</w:t>
            </w:r>
          </w:p>
        </w:tc>
      </w:tr>
    </w:tbl>
    <w:p w14:paraId="220A15E1" w14:textId="77777777" w:rsidR="00A835DA" w:rsidRDefault="00A835DA" w:rsidP="00A835DA">
      <w:pPr>
        <w:pStyle w:val="Titolo6"/>
        <w:numPr>
          <w:ilvl w:val="0"/>
          <w:numId w:val="0"/>
        </w:numPr>
      </w:pPr>
      <w:r>
        <w:t>Informazioni specifiche della misura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38530838"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77F620BE"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n.a.</w:t>
            </w:r>
          </w:p>
        </w:tc>
      </w:tr>
    </w:tbl>
    <w:p w14:paraId="646F1519" w14:textId="77777777" w:rsidR="00A835DA" w:rsidRPr="00512269" w:rsidRDefault="00A835DA" w:rsidP="00A835DA">
      <w:pPr>
        <w:pStyle w:val="Titolo4"/>
        <w:numPr>
          <w:ilvl w:val="0"/>
          <w:numId w:val="0"/>
        </w:numPr>
        <w:jc w:val="left"/>
        <w:rPr>
          <w:lang w:val="it-IT"/>
        </w:rPr>
      </w:pPr>
      <w:r w:rsidRPr="00512269">
        <w:rPr>
          <w:lang w:val="it-IT"/>
        </w:rPr>
        <w:t>Verificabilità e controllabilità delle misure e/o dei tipi di interventi</w:t>
      </w:r>
    </w:p>
    <w:p w14:paraId="1489483C" w14:textId="77777777" w:rsidR="00A835DA" w:rsidRPr="00512269" w:rsidRDefault="00A835DA" w:rsidP="00A835DA">
      <w:pPr>
        <w:pStyle w:val="Titolo5"/>
        <w:numPr>
          <w:ilvl w:val="0"/>
          <w:numId w:val="0"/>
        </w:numPr>
        <w:rPr>
          <w:b w:val="0"/>
          <w:lang w:val="it-IT"/>
        </w:rPr>
      </w:pPr>
      <w:r w:rsidRPr="00512269">
        <w:rPr>
          <w:b w:val="0"/>
          <w:lang w:val="it-IT"/>
        </w:rPr>
        <w:t>Rischio/rischi inerenti all'attuazione delle misure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5EF34449"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71A4EBB4"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Si rimanda al corrispondente paragrafo dell’operazione 22.1.01</w:t>
            </w:r>
          </w:p>
        </w:tc>
      </w:tr>
    </w:tbl>
    <w:p w14:paraId="358F93F0" w14:textId="77777777" w:rsidR="00A835DA" w:rsidRPr="00521D32" w:rsidRDefault="00A835DA" w:rsidP="00A835DA">
      <w:pPr>
        <w:pStyle w:val="Titolo5"/>
        <w:numPr>
          <w:ilvl w:val="0"/>
          <w:numId w:val="0"/>
        </w:numPr>
        <w:rPr>
          <w:b w:val="0"/>
        </w:rPr>
      </w:pPr>
      <w:r w:rsidRPr="00521D32">
        <w:rPr>
          <w:b w:val="0"/>
        </w:rPr>
        <w:lastRenderedPageBreak/>
        <w:t>Misure di attenuazione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75A3CF9E"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02B3BD9"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Si rimanda al corrispondente paragrafo dell’operazione 22.1.01</w:t>
            </w:r>
          </w:p>
        </w:tc>
      </w:tr>
    </w:tbl>
    <w:p w14:paraId="2860CDCC" w14:textId="77777777" w:rsidR="00A835DA" w:rsidRPr="00521D32" w:rsidRDefault="00A835DA" w:rsidP="00A835DA">
      <w:pPr>
        <w:pStyle w:val="Titolo5"/>
        <w:numPr>
          <w:ilvl w:val="0"/>
          <w:numId w:val="0"/>
        </w:numPr>
        <w:rPr>
          <w:b w:val="0"/>
        </w:rPr>
      </w:pPr>
      <w:r w:rsidRPr="00521D32">
        <w:rPr>
          <w:b w:val="0"/>
        </w:rPr>
        <w:t>Valutazione generale della misura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0592C53C"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24C3C614"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Si rimanda al corrispondente paragrafo dell’operazione 22.1.01</w:t>
            </w:r>
          </w:p>
        </w:tc>
      </w:tr>
    </w:tbl>
    <w:p w14:paraId="6AA54BB6" w14:textId="77777777" w:rsidR="00A835DA" w:rsidRPr="00512269" w:rsidRDefault="00A835DA" w:rsidP="00A835DA">
      <w:pPr>
        <w:pStyle w:val="Titolo4"/>
        <w:numPr>
          <w:ilvl w:val="0"/>
          <w:numId w:val="0"/>
        </w:numPr>
        <w:jc w:val="left"/>
        <w:rPr>
          <w:lang w:val="it-IT"/>
        </w:rPr>
      </w:pPr>
      <w:r w:rsidRPr="00512269">
        <w:rPr>
          <w:lang w:val="it-IT"/>
        </w:rPr>
        <w:t>Metodo per il calcolo dell'importo o del tasso di sostegno, se del caso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2A65620F" w14:textId="77777777" w:rsidTr="004803B9">
        <w:tc>
          <w:tcPr>
            <w:tcW w:w="85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25678CE"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Na</w:t>
            </w:r>
          </w:p>
        </w:tc>
      </w:tr>
    </w:tbl>
    <w:p w14:paraId="0E6FB085" w14:textId="77777777" w:rsidR="00A835DA" w:rsidRDefault="00A835DA" w:rsidP="00A835DA">
      <w:pPr>
        <w:pStyle w:val="Titolo4"/>
        <w:numPr>
          <w:ilvl w:val="0"/>
          <w:numId w:val="0"/>
        </w:numPr>
        <w:jc w:val="left"/>
      </w:pPr>
      <w:proofErr w:type="spellStart"/>
      <w:r>
        <w:t>Informazioni</w:t>
      </w:r>
      <w:proofErr w:type="spellEnd"/>
      <w:r>
        <w:t xml:space="preserve"> </w:t>
      </w:r>
      <w:proofErr w:type="spellStart"/>
      <w:r>
        <w:t>specifiche</w:t>
      </w:r>
      <w:proofErr w:type="spellEnd"/>
      <w:r>
        <w:t xml:space="preserve"> </w:t>
      </w:r>
      <w:proofErr w:type="spellStart"/>
      <w:r>
        <w:t>della</w:t>
      </w:r>
      <w:proofErr w:type="spellEnd"/>
      <w:r>
        <w:t xml:space="preserve"> </w:t>
      </w:r>
      <w:proofErr w:type="spellStart"/>
      <w:r>
        <w:t>misura</w:t>
      </w:r>
      <w:proofErr w:type="spellEnd"/>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68EEA605" w14:textId="77777777" w:rsidTr="004803B9">
        <w:tc>
          <w:tcPr>
            <w:tcW w:w="500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DD39456" w14:textId="77777777" w:rsidR="00A835DA" w:rsidRPr="00387D77" w:rsidRDefault="00A835DA" w:rsidP="004803B9">
            <w:pPr>
              <w:spacing w:before="240" w:after="240"/>
              <w:rPr>
                <w:rFonts w:ascii="Times New Roman" w:hAnsi="Times New Roman" w:cs="Times New Roman"/>
              </w:rPr>
            </w:pPr>
            <w:r w:rsidRPr="00387D77">
              <w:rPr>
                <w:rFonts w:ascii="Times New Roman" w:hAnsi="Times New Roman" w:cs="Times New Roman"/>
              </w:rPr>
              <w:t>Na</w:t>
            </w:r>
          </w:p>
        </w:tc>
      </w:tr>
    </w:tbl>
    <w:p w14:paraId="2663F48C" w14:textId="77777777" w:rsidR="00A835DA" w:rsidRPr="00512269" w:rsidRDefault="00A835DA" w:rsidP="00A835DA">
      <w:pPr>
        <w:pStyle w:val="Titolo4"/>
        <w:numPr>
          <w:ilvl w:val="0"/>
          <w:numId w:val="0"/>
        </w:numPr>
        <w:spacing w:after="100"/>
        <w:jc w:val="left"/>
        <w:rPr>
          <w:lang w:val="it-IT"/>
        </w:rPr>
      </w:pPr>
      <w:r w:rsidRPr="00512269">
        <w:rPr>
          <w:lang w:val="it-IT"/>
        </w:rPr>
        <w:t>Altre rilevanti osservazioni, utili ai fini della comprensione e dell'attuazione della misura</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20" w:type="dxa"/>
          <w:bottom w:w="120" w:type="dxa"/>
        </w:tblCellMar>
        <w:tblLook w:val="04A0" w:firstRow="1" w:lastRow="0" w:firstColumn="1" w:lastColumn="0" w:noHBand="0" w:noVBand="1"/>
      </w:tblPr>
      <w:tblGrid>
        <w:gridCol w:w="9334"/>
      </w:tblGrid>
      <w:tr w:rsidR="00A835DA" w:rsidRPr="00387D77" w14:paraId="71F39CF9" w14:textId="77777777" w:rsidTr="004803B9">
        <w:tc>
          <w:tcPr>
            <w:tcW w:w="5000" w:type="pct"/>
            <w:tcBorders>
              <w:top w:val="single" w:sz="8" w:space="0" w:color="000000"/>
              <w:left w:val="single" w:sz="8" w:space="0" w:color="000000"/>
              <w:bottom w:val="single" w:sz="8" w:space="0" w:color="000000"/>
              <w:right w:val="single" w:sz="8" w:space="0" w:color="000000"/>
            </w:tcBorders>
            <w:tcMar>
              <w:top w:w="20" w:type="dxa"/>
              <w:left w:w="108" w:type="dxa"/>
              <w:bottom w:w="20" w:type="dxa"/>
              <w:right w:w="108" w:type="dxa"/>
            </w:tcMar>
            <w:vAlign w:val="center"/>
          </w:tcPr>
          <w:p w14:paraId="63A95375" w14:textId="77777777" w:rsidR="00A835DA" w:rsidRPr="00387D77" w:rsidRDefault="00A835DA" w:rsidP="004803B9">
            <w:pPr>
              <w:spacing w:after="240"/>
              <w:rPr>
                <w:rFonts w:ascii="Times New Roman" w:hAnsi="Times New Roman" w:cs="Times New Roman"/>
              </w:rPr>
            </w:pPr>
            <w:r w:rsidRPr="00387D77">
              <w:rPr>
                <w:rFonts w:ascii="Times New Roman" w:hAnsi="Times New Roman" w:cs="Times New Roman"/>
              </w:rPr>
              <w:t>Na</w:t>
            </w:r>
          </w:p>
        </w:tc>
      </w:tr>
    </w:tbl>
    <w:p w14:paraId="457C8712" w14:textId="77777777" w:rsidR="00A42667" w:rsidRDefault="00A42667"/>
    <w:sectPr w:rsidR="00A42667" w:rsidSect="006772F2">
      <w:pgSz w:w="11906" w:h="16838" w:code="9"/>
      <w:pgMar w:top="1134" w:right="1418"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roid Sans Fallback">
    <w:altName w:val="Segoe UI"/>
    <w:charset w:val="01"/>
    <w:family w:val="auto"/>
    <w:pitch w:val="variable"/>
  </w:font>
  <w:font w:name="FreeSans">
    <w:altName w:val="Calibri"/>
    <w:charset w:val="01"/>
    <w:family w:val="auto"/>
    <w:pitch w:val="variable"/>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54480B"/>
    <w:multiLevelType w:val="hybridMultilevel"/>
    <w:tmpl w:val="3F5E8D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0C520CE"/>
    <w:multiLevelType w:val="hybridMultilevel"/>
    <w:tmpl w:val="1E1A4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0380F"/>
    <w:multiLevelType w:val="hybridMultilevel"/>
    <w:tmpl w:val="06926D9A"/>
    <w:lvl w:ilvl="0" w:tplc="10108230">
      <w:start w:val="69"/>
      <w:numFmt w:val="bullet"/>
      <w:lvlText w:val="-"/>
      <w:lvlJc w:val="left"/>
      <w:pPr>
        <w:ind w:left="720" w:hanging="360"/>
      </w:pPr>
      <w:rPr>
        <w:rFonts w:ascii="Calibri" w:eastAsia="Droid Sans Fallback" w:hAnsi="Calibri" w:cs="Calibri" w:hint="default"/>
        <w:color w:val="00000A"/>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610331F"/>
    <w:multiLevelType w:val="hybridMultilevel"/>
    <w:tmpl w:val="B88C74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C2317B6"/>
    <w:multiLevelType w:val="hybridMultilevel"/>
    <w:tmpl w:val="B248F9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7594894"/>
    <w:multiLevelType w:val="multilevel"/>
    <w:tmpl w:val="A09AD310"/>
    <w:styleLink w:val="Headings"/>
    <w:lvl w:ilvl="0">
      <w:start w:val="1"/>
      <w:numFmt w:val="decimal"/>
      <w:pStyle w:val="Titolo1"/>
      <w:suff w:val="space"/>
      <w:lvlText w:val="%1."/>
      <w:lvlJc w:val="left"/>
      <w:pPr>
        <w:ind w:left="0" w:firstLine="0"/>
      </w:pPr>
    </w:lvl>
    <w:lvl w:ilvl="1">
      <w:start w:val="1"/>
      <w:numFmt w:val="decimal"/>
      <w:pStyle w:val="Titolo2"/>
      <w:suff w:val="space"/>
      <w:lvlText w:val="%1.%2."/>
      <w:lvlJc w:val="left"/>
      <w:pPr>
        <w:ind w:left="0" w:firstLine="0"/>
      </w:pPr>
    </w:lvl>
    <w:lvl w:ilvl="2">
      <w:start w:val="1"/>
      <w:numFmt w:val="decimal"/>
      <w:pStyle w:val="Titolo3"/>
      <w:suff w:val="space"/>
      <w:lvlText w:val="%1.%2.%3."/>
      <w:lvlJc w:val="left"/>
      <w:pPr>
        <w:ind w:left="0" w:firstLine="0"/>
      </w:pPr>
      <w:rPr>
        <w:color w:val="auto"/>
      </w:rPr>
    </w:lvl>
    <w:lvl w:ilvl="3">
      <w:start w:val="1"/>
      <w:numFmt w:val="decimal"/>
      <w:pStyle w:val="Titolo4"/>
      <w:suff w:val="space"/>
      <w:lvlText w:val="%1.%2.%3.%4."/>
      <w:lvlJc w:val="left"/>
      <w:pPr>
        <w:ind w:left="0" w:firstLine="0"/>
      </w:pPr>
    </w:lvl>
    <w:lvl w:ilvl="4">
      <w:start w:val="1"/>
      <w:numFmt w:val="decimal"/>
      <w:pStyle w:val="Titolo5"/>
      <w:suff w:val="space"/>
      <w:lvlText w:val="%1.%2.%3.%4.%5."/>
      <w:lvlJc w:val="left"/>
      <w:pPr>
        <w:ind w:left="284" w:firstLine="0"/>
      </w:pPr>
    </w:lvl>
    <w:lvl w:ilvl="5">
      <w:start w:val="1"/>
      <w:numFmt w:val="decimal"/>
      <w:pStyle w:val="Titolo6"/>
      <w:suff w:val="space"/>
      <w:lvlText w:val="%1.%2.%3.%4.%5.%6."/>
      <w:lvlJc w:val="left"/>
      <w:pPr>
        <w:ind w:left="0" w:firstLine="0"/>
      </w:pPr>
    </w:lvl>
    <w:lvl w:ilvl="6">
      <w:start w:val="1"/>
      <w:numFmt w:val="decimal"/>
      <w:pStyle w:val="Titolo7"/>
      <w:suff w:val="space"/>
      <w:lvlText w:val="%1.%2.%3.%4.%5.%6.%7."/>
      <w:lvlJc w:val="left"/>
      <w:pPr>
        <w:ind w:left="0" w:firstLine="0"/>
      </w:pPr>
    </w:lvl>
    <w:lvl w:ilvl="7">
      <w:start w:val="1"/>
      <w:numFmt w:val="decimal"/>
      <w:pStyle w:val="Titolo8"/>
      <w:suff w:val="space"/>
      <w:lvlText w:val="%1.%2.%3.%4.%5.%6.%7.%8."/>
      <w:lvlJc w:val="left"/>
      <w:pPr>
        <w:ind w:left="0" w:firstLine="0"/>
      </w:pPr>
    </w:lvl>
    <w:lvl w:ilvl="8">
      <w:start w:val="1"/>
      <w:numFmt w:val="decimal"/>
      <w:pStyle w:val="Titolo9"/>
      <w:suff w:val="space"/>
      <w:lvlText w:val="%1.%2.%3.%4.%5.%6.%7.%8.%9."/>
      <w:lvlJc w:val="left"/>
      <w:pPr>
        <w:ind w:left="0" w:firstLine="0"/>
      </w:pPr>
    </w:lvl>
  </w:abstractNum>
  <w:abstractNum w:abstractNumId="6" w15:restartNumberingAfterBreak="0">
    <w:nsid w:val="61FC40E0"/>
    <w:multiLevelType w:val="hybridMultilevel"/>
    <w:tmpl w:val="853EFA7C"/>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BF5C32"/>
    <w:multiLevelType w:val="hybridMultilevel"/>
    <w:tmpl w:val="7CF2C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D1F1E79"/>
    <w:multiLevelType w:val="hybridMultilevel"/>
    <w:tmpl w:val="6B123398"/>
    <w:lvl w:ilvl="0" w:tplc="4976B642">
      <w:numFmt w:val="bullet"/>
      <w:lvlText w:val="-"/>
      <w:lvlJc w:val="left"/>
      <w:pPr>
        <w:ind w:left="720" w:hanging="360"/>
      </w:pPr>
      <w:rPr>
        <w:rFonts w:ascii="Calibri" w:eastAsia="Droid Sans Fallback"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CE43E4"/>
    <w:multiLevelType w:val="hybridMultilevel"/>
    <w:tmpl w:val="9738B0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223076D"/>
    <w:multiLevelType w:val="hybridMultilevel"/>
    <w:tmpl w:val="7223076D"/>
    <w:lvl w:ilvl="0" w:tplc="4C22221C">
      <w:start w:val="1"/>
      <w:numFmt w:val="bullet"/>
      <w:lvlText w:val=""/>
      <w:lvlJc w:val="left"/>
      <w:pPr>
        <w:ind w:left="720" w:hanging="360"/>
      </w:pPr>
      <w:rPr>
        <w:rFonts w:ascii="Symbol" w:hAnsi="Symbol"/>
      </w:rPr>
    </w:lvl>
    <w:lvl w:ilvl="1" w:tplc="E01AF474">
      <w:start w:val="1"/>
      <w:numFmt w:val="bullet"/>
      <w:lvlText w:val="o"/>
      <w:lvlJc w:val="left"/>
      <w:pPr>
        <w:tabs>
          <w:tab w:val="num" w:pos="1440"/>
        </w:tabs>
        <w:ind w:left="1440" w:hanging="360"/>
      </w:pPr>
      <w:rPr>
        <w:rFonts w:ascii="Courier New" w:hAnsi="Courier New"/>
      </w:rPr>
    </w:lvl>
    <w:lvl w:ilvl="2" w:tplc="C5C6DDB2">
      <w:start w:val="1"/>
      <w:numFmt w:val="bullet"/>
      <w:lvlText w:val=""/>
      <w:lvlJc w:val="left"/>
      <w:pPr>
        <w:tabs>
          <w:tab w:val="num" w:pos="2160"/>
        </w:tabs>
        <w:ind w:left="2160" w:hanging="360"/>
      </w:pPr>
      <w:rPr>
        <w:rFonts w:ascii="Wingdings" w:hAnsi="Wingdings"/>
      </w:rPr>
    </w:lvl>
    <w:lvl w:ilvl="3" w:tplc="8EE2133C">
      <w:start w:val="1"/>
      <w:numFmt w:val="bullet"/>
      <w:lvlText w:val=""/>
      <w:lvlJc w:val="left"/>
      <w:pPr>
        <w:tabs>
          <w:tab w:val="num" w:pos="2880"/>
        </w:tabs>
        <w:ind w:left="2880" w:hanging="360"/>
      </w:pPr>
      <w:rPr>
        <w:rFonts w:ascii="Symbol" w:hAnsi="Symbol"/>
      </w:rPr>
    </w:lvl>
    <w:lvl w:ilvl="4" w:tplc="282ECBB2">
      <w:start w:val="1"/>
      <w:numFmt w:val="bullet"/>
      <w:lvlText w:val="o"/>
      <w:lvlJc w:val="left"/>
      <w:pPr>
        <w:tabs>
          <w:tab w:val="num" w:pos="3600"/>
        </w:tabs>
        <w:ind w:left="3600" w:hanging="360"/>
      </w:pPr>
      <w:rPr>
        <w:rFonts w:ascii="Courier New" w:hAnsi="Courier New"/>
      </w:rPr>
    </w:lvl>
    <w:lvl w:ilvl="5" w:tplc="1E82DE26">
      <w:start w:val="1"/>
      <w:numFmt w:val="bullet"/>
      <w:lvlText w:val=""/>
      <w:lvlJc w:val="left"/>
      <w:pPr>
        <w:tabs>
          <w:tab w:val="num" w:pos="4320"/>
        </w:tabs>
        <w:ind w:left="4320" w:hanging="360"/>
      </w:pPr>
      <w:rPr>
        <w:rFonts w:ascii="Wingdings" w:hAnsi="Wingdings"/>
      </w:rPr>
    </w:lvl>
    <w:lvl w:ilvl="6" w:tplc="D50EF286">
      <w:start w:val="1"/>
      <w:numFmt w:val="bullet"/>
      <w:lvlText w:val=""/>
      <w:lvlJc w:val="left"/>
      <w:pPr>
        <w:tabs>
          <w:tab w:val="num" w:pos="5040"/>
        </w:tabs>
        <w:ind w:left="5040" w:hanging="360"/>
      </w:pPr>
      <w:rPr>
        <w:rFonts w:ascii="Symbol" w:hAnsi="Symbol"/>
      </w:rPr>
    </w:lvl>
    <w:lvl w:ilvl="7" w:tplc="89B0969C">
      <w:start w:val="1"/>
      <w:numFmt w:val="bullet"/>
      <w:lvlText w:val="o"/>
      <w:lvlJc w:val="left"/>
      <w:pPr>
        <w:tabs>
          <w:tab w:val="num" w:pos="5760"/>
        </w:tabs>
        <w:ind w:left="5760" w:hanging="360"/>
      </w:pPr>
      <w:rPr>
        <w:rFonts w:ascii="Courier New" w:hAnsi="Courier New"/>
      </w:rPr>
    </w:lvl>
    <w:lvl w:ilvl="8" w:tplc="77100BA8">
      <w:start w:val="1"/>
      <w:numFmt w:val="bullet"/>
      <w:lvlText w:val=""/>
      <w:lvlJc w:val="left"/>
      <w:pPr>
        <w:tabs>
          <w:tab w:val="num" w:pos="6480"/>
        </w:tabs>
        <w:ind w:left="6480" w:hanging="360"/>
      </w:pPr>
      <w:rPr>
        <w:rFonts w:ascii="Wingdings" w:hAnsi="Wingdings"/>
      </w:rPr>
    </w:lvl>
  </w:abstractNum>
  <w:abstractNum w:abstractNumId="11" w15:restartNumberingAfterBreak="0">
    <w:nsid w:val="7223076F"/>
    <w:multiLevelType w:val="hybridMultilevel"/>
    <w:tmpl w:val="7223076F"/>
    <w:lvl w:ilvl="0" w:tplc="E0467FA0">
      <w:start w:val="1"/>
      <w:numFmt w:val="bullet"/>
      <w:lvlText w:val=""/>
      <w:lvlJc w:val="left"/>
      <w:pPr>
        <w:tabs>
          <w:tab w:val="num" w:pos="720"/>
        </w:tabs>
        <w:ind w:left="720" w:hanging="360"/>
      </w:pPr>
      <w:rPr>
        <w:rFonts w:ascii="Symbol" w:hAnsi="Symbol"/>
      </w:rPr>
    </w:lvl>
    <w:lvl w:ilvl="1" w:tplc="97842BF0">
      <w:start w:val="1"/>
      <w:numFmt w:val="bullet"/>
      <w:lvlText w:val="o"/>
      <w:lvlJc w:val="left"/>
      <w:pPr>
        <w:tabs>
          <w:tab w:val="num" w:pos="1440"/>
        </w:tabs>
        <w:ind w:left="1440" w:hanging="360"/>
      </w:pPr>
      <w:rPr>
        <w:rFonts w:ascii="Courier New" w:hAnsi="Courier New"/>
      </w:rPr>
    </w:lvl>
    <w:lvl w:ilvl="2" w:tplc="0B7282BA">
      <w:start w:val="1"/>
      <w:numFmt w:val="bullet"/>
      <w:lvlText w:val=""/>
      <w:lvlJc w:val="left"/>
      <w:pPr>
        <w:tabs>
          <w:tab w:val="num" w:pos="2160"/>
        </w:tabs>
        <w:ind w:left="2160" w:hanging="360"/>
      </w:pPr>
      <w:rPr>
        <w:rFonts w:ascii="Wingdings" w:hAnsi="Wingdings"/>
      </w:rPr>
    </w:lvl>
    <w:lvl w:ilvl="3" w:tplc="A80EC770">
      <w:start w:val="1"/>
      <w:numFmt w:val="bullet"/>
      <w:lvlText w:val=""/>
      <w:lvlJc w:val="left"/>
      <w:pPr>
        <w:tabs>
          <w:tab w:val="num" w:pos="2880"/>
        </w:tabs>
        <w:ind w:left="2880" w:hanging="360"/>
      </w:pPr>
      <w:rPr>
        <w:rFonts w:ascii="Symbol" w:hAnsi="Symbol"/>
      </w:rPr>
    </w:lvl>
    <w:lvl w:ilvl="4" w:tplc="B56450C2">
      <w:start w:val="1"/>
      <w:numFmt w:val="bullet"/>
      <w:lvlText w:val="o"/>
      <w:lvlJc w:val="left"/>
      <w:pPr>
        <w:tabs>
          <w:tab w:val="num" w:pos="3600"/>
        </w:tabs>
        <w:ind w:left="3600" w:hanging="360"/>
      </w:pPr>
      <w:rPr>
        <w:rFonts w:ascii="Courier New" w:hAnsi="Courier New"/>
      </w:rPr>
    </w:lvl>
    <w:lvl w:ilvl="5" w:tplc="88E64858">
      <w:start w:val="1"/>
      <w:numFmt w:val="bullet"/>
      <w:lvlText w:val=""/>
      <w:lvlJc w:val="left"/>
      <w:pPr>
        <w:tabs>
          <w:tab w:val="num" w:pos="4320"/>
        </w:tabs>
        <w:ind w:left="4320" w:hanging="360"/>
      </w:pPr>
      <w:rPr>
        <w:rFonts w:ascii="Wingdings" w:hAnsi="Wingdings"/>
      </w:rPr>
    </w:lvl>
    <w:lvl w:ilvl="6" w:tplc="E97A6A4E">
      <w:start w:val="1"/>
      <w:numFmt w:val="bullet"/>
      <w:lvlText w:val=""/>
      <w:lvlJc w:val="left"/>
      <w:pPr>
        <w:tabs>
          <w:tab w:val="num" w:pos="5040"/>
        </w:tabs>
        <w:ind w:left="5040" w:hanging="360"/>
      </w:pPr>
      <w:rPr>
        <w:rFonts w:ascii="Symbol" w:hAnsi="Symbol"/>
      </w:rPr>
    </w:lvl>
    <w:lvl w:ilvl="7" w:tplc="983CB552">
      <w:start w:val="1"/>
      <w:numFmt w:val="bullet"/>
      <w:lvlText w:val="o"/>
      <w:lvlJc w:val="left"/>
      <w:pPr>
        <w:tabs>
          <w:tab w:val="num" w:pos="5760"/>
        </w:tabs>
        <w:ind w:left="5760" w:hanging="360"/>
      </w:pPr>
      <w:rPr>
        <w:rFonts w:ascii="Courier New" w:hAnsi="Courier New"/>
      </w:rPr>
    </w:lvl>
    <w:lvl w:ilvl="8" w:tplc="7FEE702A">
      <w:start w:val="1"/>
      <w:numFmt w:val="bullet"/>
      <w:lvlText w:val=""/>
      <w:lvlJc w:val="left"/>
      <w:pPr>
        <w:tabs>
          <w:tab w:val="num" w:pos="6480"/>
        </w:tabs>
        <w:ind w:left="6480" w:hanging="360"/>
      </w:pPr>
      <w:rPr>
        <w:rFonts w:ascii="Wingdings" w:hAnsi="Wingdings"/>
      </w:rPr>
    </w:lvl>
  </w:abstractNum>
  <w:abstractNum w:abstractNumId="12" w15:restartNumberingAfterBreak="0">
    <w:nsid w:val="744F5895"/>
    <w:multiLevelType w:val="hybridMultilevel"/>
    <w:tmpl w:val="E64EE798"/>
    <w:lvl w:ilvl="0" w:tplc="B4E08402">
      <w:start w:val="7"/>
      <w:numFmt w:val="bullet"/>
      <w:lvlText w:val=""/>
      <w:lvlJc w:val="left"/>
      <w:pPr>
        <w:ind w:left="720" w:hanging="360"/>
      </w:pPr>
      <w:rPr>
        <w:rFonts w:ascii="Wingdings" w:eastAsia="Droid Sans Fallback"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E2B1E05"/>
    <w:multiLevelType w:val="hybridMultilevel"/>
    <w:tmpl w:val="C32CFA62"/>
    <w:lvl w:ilvl="0" w:tplc="0DB8B3FE">
      <w:numFmt w:val="bullet"/>
      <w:lvlText w:val="-"/>
      <w:lvlJc w:val="left"/>
      <w:pPr>
        <w:ind w:left="720" w:hanging="360"/>
      </w:pPr>
      <w:rPr>
        <w:rFonts w:ascii="Calibri" w:eastAsia="Droid Sans Fallback"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0"/>
  </w:num>
  <w:num w:numId="4">
    <w:abstractNumId w:val="11"/>
  </w:num>
  <w:num w:numId="5">
    <w:abstractNumId w:val="8"/>
  </w:num>
  <w:num w:numId="6">
    <w:abstractNumId w:val="2"/>
  </w:num>
  <w:num w:numId="7">
    <w:abstractNumId w:val="3"/>
  </w:num>
  <w:num w:numId="8">
    <w:abstractNumId w:val="0"/>
  </w:num>
  <w:num w:numId="9">
    <w:abstractNumId w:val="4"/>
  </w:num>
  <w:num w:numId="10">
    <w:abstractNumId w:val="7"/>
  </w:num>
  <w:num w:numId="11">
    <w:abstractNumId w:val="9"/>
  </w:num>
  <w:num w:numId="12">
    <w:abstractNumId w:val="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835DA"/>
    <w:rsid w:val="00036DAC"/>
    <w:rsid w:val="00046CCB"/>
    <w:rsid w:val="000802BF"/>
    <w:rsid w:val="000E7AF9"/>
    <w:rsid w:val="001276DA"/>
    <w:rsid w:val="001D0945"/>
    <w:rsid w:val="001F1739"/>
    <w:rsid w:val="002665F4"/>
    <w:rsid w:val="00276420"/>
    <w:rsid w:val="002A26CA"/>
    <w:rsid w:val="002A68CD"/>
    <w:rsid w:val="002D5118"/>
    <w:rsid w:val="00360576"/>
    <w:rsid w:val="00364656"/>
    <w:rsid w:val="00387D77"/>
    <w:rsid w:val="00396972"/>
    <w:rsid w:val="00396E37"/>
    <w:rsid w:val="003A3955"/>
    <w:rsid w:val="003C12A1"/>
    <w:rsid w:val="003D756A"/>
    <w:rsid w:val="004260C0"/>
    <w:rsid w:val="00473E20"/>
    <w:rsid w:val="00475918"/>
    <w:rsid w:val="004B5643"/>
    <w:rsid w:val="004E4233"/>
    <w:rsid w:val="00505FBB"/>
    <w:rsid w:val="00512269"/>
    <w:rsid w:val="00520910"/>
    <w:rsid w:val="00521D32"/>
    <w:rsid w:val="00531A66"/>
    <w:rsid w:val="00577512"/>
    <w:rsid w:val="005969D4"/>
    <w:rsid w:val="005976D0"/>
    <w:rsid w:val="005C7AEC"/>
    <w:rsid w:val="00634A77"/>
    <w:rsid w:val="006363C3"/>
    <w:rsid w:val="00636812"/>
    <w:rsid w:val="006772F2"/>
    <w:rsid w:val="006B74E9"/>
    <w:rsid w:val="006E2AE9"/>
    <w:rsid w:val="006F5E78"/>
    <w:rsid w:val="0079569B"/>
    <w:rsid w:val="008160D3"/>
    <w:rsid w:val="00830FEB"/>
    <w:rsid w:val="008325D9"/>
    <w:rsid w:val="00894A06"/>
    <w:rsid w:val="008A32A6"/>
    <w:rsid w:val="008A363C"/>
    <w:rsid w:val="008F11F1"/>
    <w:rsid w:val="00935D3F"/>
    <w:rsid w:val="0096237A"/>
    <w:rsid w:val="00966E0F"/>
    <w:rsid w:val="00983471"/>
    <w:rsid w:val="009F5151"/>
    <w:rsid w:val="00A40EC6"/>
    <w:rsid w:val="00A42667"/>
    <w:rsid w:val="00A61551"/>
    <w:rsid w:val="00A835DA"/>
    <w:rsid w:val="00A87B18"/>
    <w:rsid w:val="00AF034C"/>
    <w:rsid w:val="00B31CF2"/>
    <w:rsid w:val="00BA7952"/>
    <w:rsid w:val="00C0423E"/>
    <w:rsid w:val="00C53C64"/>
    <w:rsid w:val="00C806B2"/>
    <w:rsid w:val="00CD7A90"/>
    <w:rsid w:val="00CE11E2"/>
    <w:rsid w:val="00D27684"/>
    <w:rsid w:val="00D36D09"/>
    <w:rsid w:val="00D72FA7"/>
    <w:rsid w:val="00D75ED6"/>
    <w:rsid w:val="00D77CDD"/>
    <w:rsid w:val="00DB7731"/>
    <w:rsid w:val="00DD7DC5"/>
    <w:rsid w:val="00DF79B8"/>
    <w:rsid w:val="00E05950"/>
    <w:rsid w:val="00E10F78"/>
    <w:rsid w:val="00E15241"/>
    <w:rsid w:val="00E26734"/>
    <w:rsid w:val="00E445E4"/>
    <w:rsid w:val="00E47ACF"/>
    <w:rsid w:val="00E821EA"/>
    <w:rsid w:val="00EE45D8"/>
    <w:rsid w:val="00EF4A56"/>
    <w:rsid w:val="00F11356"/>
    <w:rsid w:val="00F36CF6"/>
    <w:rsid w:val="00F82B4C"/>
    <w:rsid w:val="00FA44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7639"/>
  <w15:chartTrackingRefBased/>
  <w15:docId w15:val="{53F894B0-0EC1-405B-BDE4-F435F973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A835DA"/>
    <w:pPr>
      <w:widowControl w:val="0"/>
      <w:suppressAutoHyphens/>
      <w:spacing w:after="0" w:line="240" w:lineRule="auto"/>
    </w:pPr>
    <w:rPr>
      <w:rFonts w:ascii="Calibri" w:eastAsia="Droid Sans Fallback" w:hAnsi="Calibri" w:cs="FreeSans"/>
      <w:color w:val="00000A"/>
      <w:sz w:val="24"/>
      <w:szCs w:val="24"/>
      <w:lang w:eastAsia="zh-CN" w:bidi="hi-IN"/>
    </w:rPr>
  </w:style>
  <w:style w:type="paragraph" w:styleId="Titolo1">
    <w:name w:val="heading 1"/>
    <w:basedOn w:val="Normale"/>
    <w:next w:val="Normale"/>
    <w:link w:val="Titolo1Carattere"/>
    <w:qFormat/>
    <w:rsid w:val="00A835DA"/>
    <w:pPr>
      <w:keepNext/>
      <w:widowControl/>
      <w:numPr>
        <w:numId w:val="1"/>
      </w:numPr>
      <w:suppressAutoHyphens w:val="0"/>
      <w:spacing w:before="240" w:after="240"/>
      <w:jc w:val="both"/>
      <w:outlineLvl w:val="0"/>
    </w:pPr>
    <w:rPr>
      <w:rFonts w:ascii="Times New Roman" w:eastAsia="Times New Roman" w:hAnsi="Times New Roman" w:cs="Times New Roman"/>
      <w:b/>
      <w:smallCaps/>
      <w:color w:val="auto"/>
      <w:sz w:val="28"/>
      <w:szCs w:val="20"/>
      <w:lang w:val="fr-BE" w:eastAsia="en-US" w:bidi="ar-SA"/>
    </w:rPr>
  </w:style>
  <w:style w:type="paragraph" w:styleId="Titolo2">
    <w:name w:val="heading 2"/>
    <w:basedOn w:val="Titolo1"/>
    <w:next w:val="Normale"/>
    <w:link w:val="Titolo2Carattere"/>
    <w:autoRedefine/>
    <w:semiHidden/>
    <w:unhideWhenUsed/>
    <w:qFormat/>
    <w:rsid w:val="00A835DA"/>
    <w:pPr>
      <w:numPr>
        <w:ilvl w:val="1"/>
      </w:numPr>
      <w:outlineLvl w:val="1"/>
    </w:pPr>
    <w:rPr>
      <w:smallCaps w:val="0"/>
      <w:sz w:val="24"/>
    </w:rPr>
  </w:style>
  <w:style w:type="paragraph" w:styleId="Titolo3">
    <w:name w:val="heading 3"/>
    <w:basedOn w:val="Titolo2"/>
    <w:next w:val="Normale"/>
    <w:link w:val="Titolo3Carattere"/>
    <w:autoRedefine/>
    <w:unhideWhenUsed/>
    <w:qFormat/>
    <w:rsid w:val="00A835DA"/>
    <w:pPr>
      <w:numPr>
        <w:ilvl w:val="2"/>
      </w:numPr>
      <w:outlineLvl w:val="2"/>
    </w:pPr>
    <w:rPr>
      <w:b w:val="0"/>
      <w:color w:val="000000"/>
    </w:rPr>
  </w:style>
  <w:style w:type="paragraph" w:styleId="Titolo4">
    <w:name w:val="heading 4"/>
    <w:basedOn w:val="Titolo3"/>
    <w:next w:val="Normale"/>
    <w:link w:val="Titolo4Carattere"/>
    <w:unhideWhenUsed/>
    <w:qFormat/>
    <w:rsid w:val="00A835DA"/>
    <w:pPr>
      <w:numPr>
        <w:ilvl w:val="3"/>
      </w:numPr>
      <w:outlineLvl w:val="3"/>
    </w:pPr>
    <w:rPr>
      <w:i/>
    </w:rPr>
  </w:style>
  <w:style w:type="paragraph" w:styleId="Titolo5">
    <w:name w:val="heading 5"/>
    <w:basedOn w:val="Titolo4"/>
    <w:next w:val="Normale"/>
    <w:link w:val="Titolo5Carattere"/>
    <w:unhideWhenUsed/>
    <w:qFormat/>
    <w:rsid w:val="00A835DA"/>
    <w:pPr>
      <w:numPr>
        <w:ilvl w:val="4"/>
      </w:numPr>
      <w:jc w:val="left"/>
      <w:outlineLvl w:val="4"/>
    </w:pPr>
    <w:rPr>
      <w:rFonts w:ascii="Arial" w:hAnsi="Arial"/>
      <w:b/>
      <w:i w:val="0"/>
      <w:noProof/>
      <w:sz w:val="22"/>
    </w:rPr>
  </w:style>
  <w:style w:type="paragraph" w:styleId="Titolo6">
    <w:name w:val="heading 6"/>
    <w:basedOn w:val="Titolo5"/>
    <w:next w:val="Normale"/>
    <w:link w:val="Titolo6Carattere"/>
    <w:unhideWhenUsed/>
    <w:qFormat/>
    <w:rsid w:val="00A835DA"/>
    <w:pPr>
      <w:numPr>
        <w:ilvl w:val="5"/>
      </w:numPr>
      <w:spacing w:after="60"/>
      <w:outlineLvl w:val="5"/>
    </w:pPr>
    <w:rPr>
      <w:b w:val="0"/>
    </w:rPr>
  </w:style>
  <w:style w:type="paragraph" w:styleId="Titolo7">
    <w:name w:val="heading 7"/>
    <w:basedOn w:val="Titolo6"/>
    <w:next w:val="Normale"/>
    <w:link w:val="Titolo7Carattere"/>
    <w:semiHidden/>
    <w:unhideWhenUsed/>
    <w:qFormat/>
    <w:rsid w:val="00A835DA"/>
    <w:pPr>
      <w:numPr>
        <w:ilvl w:val="6"/>
      </w:numPr>
      <w:outlineLvl w:val="6"/>
    </w:pPr>
    <w:rPr>
      <w:i/>
    </w:rPr>
  </w:style>
  <w:style w:type="paragraph" w:styleId="Titolo8">
    <w:name w:val="heading 8"/>
    <w:basedOn w:val="Titolo7"/>
    <w:next w:val="Normale"/>
    <w:link w:val="Titolo8Carattere"/>
    <w:semiHidden/>
    <w:unhideWhenUsed/>
    <w:qFormat/>
    <w:rsid w:val="00A835DA"/>
    <w:pPr>
      <w:numPr>
        <w:ilvl w:val="7"/>
      </w:numPr>
      <w:outlineLvl w:val="7"/>
    </w:pPr>
    <w:rPr>
      <w:rFonts w:ascii="Calibri" w:hAnsi="Calibri"/>
      <w:b/>
      <w:i w:val="0"/>
      <w:sz w:val="24"/>
    </w:rPr>
  </w:style>
  <w:style w:type="paragraph" w:styleId="Titolo9">
    <w:name w:val="heading 9"/>
    <w:basedOn w:val="Titolo8"/>
    <w:next w:val="Normale"/>
    <w:link w:val="Titolo9Carattere"/>
    <w:semiHidden/>
    <w:unhideWhenUsed/>
    <w:qFormat/>
    <w:rsid w:val="00A835DA"/>
    <w:pPr>
      <w:numPr>
        <w:ilvl w:val="8"/>
      </w:numPr>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835DA"/>
    <w:rPr>
      <w:rFonts w:ascii="Times New Roman" w:eastAsia="Times New Roman" w:hAnsi="Times New Roman" w:cs="Times New Roman"/>
      <w:b/>
      <w:smallCaps/>
      <w:sz w:val="28"/>
      <w:szCs w:val="20"/>
      <w:lang w:val="fr-BE"/>
    </w:rPr>
  </w:style>
  <w:style w:type="character" w:customStyle="1" w:styleId="Titolo2Carattere">
    <w:name w:val="Titolo 2 Carattere"/>
    <w:basedOn w:val="Carpredefinitoparagrafo"/>
    <w:link w:val="Titolo2"/>
    <w:semiHidden/>
    <w:rsid w:val="00A835DA"/>
    <w:rPr>
      <w:rFonts w:ascii="Times New Roman" w:eastAsia="Times New Roman" w:hAnsi="Times New Roman" w:cs="Times New Roman"/>
      <w:b/>
      <w:sz w:val="24"/>
      <w:szCs w:val="20"/>
      <w:lang w:val="fr-BE"/>
    </w:rPr>
  </w:style>
  <w:style w:type="character" w:customStyle="1" w:styleId="Titolo3Carattere">
    <w:name w:val="Titolo 3 Carattere"/>
    <w:basedOn w:val="Carpredefinitoparagrafo"/>
    <w:link w:val="Titolo3"/>
    <w:rsid w:val="00A835DA"/>
    <w:rPr>
      <w:rFonts w:ascii="Times New Roman" w:eastAsia="Times New Roman" w:hAnsi="Times New Roman" w:cs="Times New Roman"/>
      <w:color w:val="000000"/>
      <w:sz w:val="24"/>
      <w:szCs w:val="20"/>
      <w:lang w:val="fr-BE"/>
    </w:rPr>
  </w:style>
  <w:style w:type="character" w:customStyle="1" w:styleId="Titolo4Carattere">
    <w:name w:val="Titolo 4 Carattere"/>
    <w:basedOn w:val="Carpredefinitoparagrafo"/>
    <w:link w:val="Titolo4"/>
    <w:rsid w:val="00A835DA"/>
    <w:rPr>
      <w:rFonts w:ascii="Times New Roman" w:eastAsia="Times New Roman" w:hAnsi="Times New Roman" w:cs="Times New Roman"/>
      <w:i/>
      <w:color w:val="000000"/>
      <w:sz w:val="24"/>
      <w:szCs w:val="20"/>
      <w:lang w:val="fr-BE"/>
    </w:rPr>
  </w:style>
  <w:style w:type="character" w:customStyle="1" w:styleId="Titolo5Carattere">
    <w:name w:val="Titolo 5 Carattere"/>
    <w:basedOn w:val="Carpredefinitoparagrafo"/>
    <w:link w:val="Titolo5"/>
    <w:rsid w:val="00A835DA"/>
    <w:rPr>
      <w:rFonts w:ascii="Arial" w:eastAsia="Times New Roman" w:hAnsi="Arial" w:cs="Times New Roman"/>
      <w:b/>
      <w:noProof/>
      <w:color w:val="000000"/>
      <w:szCs w:val="20"/>
      <w:lang w:val="fr-BE"/>
    </w:rPr>
  </w:style>
  <w:style w:type="character" w:customStyle="1" w:styleId="Titolo6Carattere">
    <w:name w:val="Titolo 6 Carattere"/>
    <w:basedOn w:val="Carpredefinitoparagrafo"/>
    <w:link w:val="Titolo6"/>
    <w:rsid w:val="00A835DA"/>
    <w:rPr>
      <w:rFonts w:ascii="Arial" w:eastAsia="Times New Roman" w:hAnsi="Arial" w:cs="Times New Roman"/>
      <w:noProof/>
      <w:color w:val="000000"/>
      <w:szCs w:val="20"/>
      <w:lang w:val="fr-BE"/>
    </w:rPr>
  </w:style>
  <w:style w:type="character" w:customStyle="1" w:styleId="Titolo7Carattere">
    <w:name w:val="Titolo 7 Carattere"/>
    <w:basedOn w:val="Carpredefinitoparagrafo"/>
    <w:link w:val="Titolo7"/>
    <w:semiHidden/>
    <w:rsid w:val="00A835DA"/>
    <w:rPr>
      <w:rFonts w:ascii="Arial" w:eastAsia="Times New Roman" w:hAnsi="Arial" w:cs="Times New Roman"/>
      <w:i/>
      <w:noProof/>
      <w:color w:val="000000"/>
      <w:szCs w:val="20"/>
      <w:lang w:val="fr-BE"/>
    </w:rPr>
  </w:style>
  <w:style w:type="character" w:customStyle="1" w:styleId="Titolo8Carattere">
    <w:name w:val="Titolo 8 Carattere"/>
    <w:basedOn w:val="Carpredefinitoparagrafo"/>
    <w:link w:val="Titolo8"/>
    <w:semiHidden/>
    <w:rsid w:val="00A835DA"/>
    <w:rPr>
      <w:rFonts w:ascii="Calibri" w:eastAsia="Times New Roman" w:hAnsi="Calibri" w:cs="Times New Roman"/>
      <w:b/>
      <w:noProof/>
      <w:color w:val="000000"/>
      <w:sz w:val="24"/>
      <w:szCs w:val="20"/>
      <w:lang w:val="fr-BE"/>
    </w:rPr>
  </w:style>
  <w:style w:type="character" w:customStyle="1" w:styleId="Titolo9Carattere">
    <w:name w:val="Titolo 9 Carattere"/>
    <w:basedOn w:val="Carpredefinitoparagrafo"/>
    <w:link w:val="Titolo9"/>
    <w:semiHidden/>
    <w:rsid w:val="00A835DA"/>
    <w:rPr>
      <w:rFonts w:ascii="Calibri" w:eastAsia="Times New Roman" w:hAnsi="Calibri" w:cs="Times New Roman"/>
      <w:noProof/>
      <w:color w:val="000000"/>
      <w:sz w:val="24"/>
      <w:szCs w:val="20"/>
      <w:lang w:val="fr-BE"/>
    </w:rPr>
  </w:style>
  <w:style w:type="paragraph" w:styleId="Paragrafoelenco">
    <w:name w:val="List Paragraph"/>
    <w:basedOn w:val="Normale"/>
    <w:link w:val="ParagrafoelencoCarattere"/>
    <w:uiPriority w:val="34"/>
    <w:qFormat/>
    <w:rsid w:val="00A835DA"/>
    <w:pPr>
      <w:widowControl/>
      <w:suppressAutoHyphens w:val="0"/>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customStyle="1" w:styleId="ParagrafoelencoCarattere">
    <w:name w:val="Paragrafo elenco Carattere"/>
    <w:basedOn w:val="Carpredefinitoparagrafo"/>
    <w:link w:val="Paragrafoelenco"/>
    <w:uiPriority w:val="34"/>
    <w:rsid w:val="00A835DA"/>
  </w:style>
  <w:style w:type="paragraph" w:styleId="Corpotesto">
    <w:name w:val="Body Text"/>
    <w:basedOn w:val="Normale"/>
    <w:link w:val="CorpotestoCarattere"/>
    <w:unhideWhenUsed/>
    <w:rsid w:val="00A835DA"/>
    <w:pPr>
      <w:widowControl/>
      <w:suppressAutoHyphens w:val="0"/>
      <w:spacing w:before="120" w:after="120"/>
      <w:jc w:val="both"/>
    </w:pPr>
    <w:rPr>
      <w:rFonts w:ascii="Times New Roman" w:eastAsia="Times New Roman" w:hAnsi="Times New Roman" w:cs="Times New Roman"/>
      <w:color w:val="auto"/>
      <w:szCs w:val="20"/>
      <w:lang w:val="en-GB" w:eastAsia="en-US" w:bidi="ar-SA"/>
    </w:rPr>
  </w:style>
  <w:style w:type="character" w:customStyle="1" w:styleId="CorpotestoCarattere">
    <w:name w:val="Corpo testo Carattere"/>
    <w:basedOn w:val="Carpredefinitoparagrafo"/>
    <w:link w:val="Corpotesto"/>
    <w:rsid w:val="00A835DA"/>
    <w:rPr>
      <w:rFonts w:ascii="Times New Roman" w:eastAsia="Times New Roman" w:hAnsi="Times New Roman" w:cs="Times New Roman"/>
      <w:sz w:val="24"/>
      <w:szCs w:val="20"/>
      <w:lang w:val="en-GB"/>
    </w:rPr>
  </w:style>
  <w:style w:type="numbering" w:customStyle="1" w:styleId="Headings">
    <w:name w:val="Headings"/>
    <w:uiPriority w:val="99"/>
    <w:rsid w:val="00A835DA"/>
    <w:pPr>
      <w:numPr>
        <w:numId w:val="1"/>
      </w:numPr>
    </w:pPr>
  </w:style>
  <w:style w:type="paragraph" w:customStyle="1" w:styleId="TableParagraph">
    <w:name w:val="Table Paragraph"/>
    <w:basedOn w:val="Normale"/>
    <w:uiPriority w:val="1"/>
    <w:qFormat/>
    <w:rsid w:val="00A835DA"/>
    <w:pPr>
      <w:suppressAutoHyphens w:val="0"/>
      <w:autoSpaceDE w:val="0"/>
      <w:autoSpaceDN w:val="0"/>
    </w:pPr>
    <w:rPr>
      <w:rFonts w:eastAsia="Calibri" w:cs="Calibri"/>
      <w:color w:val="auto"/>
      <w:sz w:val="22"/>
      <w:szCs w:val="22"/>
      <w:lang w:eastAsia="it-IT" w:bidi="it-IT"/>
    </w:rPr>
  </w:style>
  <w:style w:type="character" w:styleId="Rimandocommento">
    <w:name w:val="annotation reference"/>
    <w:basedOn w:val="Carpredefinitoparagrafo"/>
    <w:uiPriority w:val="99"/>
    <w:semiHidden/>
    <w:unhideWhenUsed/>
    <w:rsid w:val="00A835DA"/>
    <w:rPr>
      <w:sz w:val="16"/>
      <w:szCs w:val="16"/>
    </w:rPr>
  </w:style>
  <w:style w:type="paragraph" w:styleId="Testocommento">
    <w:name w:val="annotation text"/>
    <w:basedOn w:val="Normale"/>
    <w:link w:val="TestocommentoCarattere"/>
    <w:uiPriority w:val="99"/>
    <w:unhideWhenUsed/>
    <w:rsid w:val="00A835DA"/>
    <w:rPr>
      <w:rFonts w:cs="Mangal"/>
      <w:sz w:val="20"/>
      <w:szCs w:val="18"/>
    </w:rPr>
  </w:style>
  <w:style w:type="character" w:customStyle="1" w:styleId="TestocommentoCarattere">
    <w:name w:val="Testo commento Carattere"/>
    <w:basedOn w:val="Carpredefinitoparagrafo"/>
    <w:link w:val="Testocommento"/>
    <w:uiPriority w:val="99"/>
    <w:rsid w:val="00A835DA"/>
    <w:rPr>
      <w:rFonts w:ascii="Calibri" w:eastAsia="Droid Sans Fallback" w:hAnsi="Calibri" w:cs="Mangal"/>
      <w:color w:val="00000A"/>
      <w:sz w:val="20"/>
      <w:szCs w:val="18"/>
      <w:lang w:eastAsia="zh-CN" w:bidi="hi-IN"/>
    </w:rPr>
  </w:style>
  <w:style w:type="table" w:customStyle="1" w:styleId="TableNormal1">
    <w:name w:val="Table Normal1"/>
    <w:uiPriority w:val="2"/>
    <w:semiHidden/>
    <w:unhideWhenUsed/>
    <w:qFormat/>
    <w:rsid w:val="00A835D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iPriority w:val="99"/>
    <w:semiHidden/>
    <w:unhideWhenUsed/>
    <w:rsid w:val="008A32A6"/>
    <w:rPr>
      <w:b/>
      <w:bCs/>
    </w:rPr>
  </w:style>
  <w:style w:type="character" w:customStyle="1" w:styleId="SoggettocommentoCarattere">
    <w:name w:val="Soggetto commento Carattere"/>
    <w:basedOn w:val="TestocommentoCarattere"/>
    <w:link w:val="Soggettocommento"/>
    <w:uiPriority w:val="99"/>
    <w:semiHidden/>
    <w:rsid w:val="008A32A6"/>
    <w:rPr>
      <w:rFonts w:ascii="Calibri" w:eastAsia="Droid Sans Fallback" w:hAnsi="Calibri" w:cs="Mangal"/>
      <w:b/>
      <w:bCs/>
      <w:color w:val="00000A"/>
      <w:sz w:val="20"/>
      <w:szCs w:val="18"/>
      <w:lang w:eastAsia="zh-CN" w:bidi="hi-IN"/>
    </w:rPr>
  </w:style>
  <w:style w:type="paragraph" w:styleId="Testofumetto">
    <w:name w:val="Balloon Text"/>
    <w:basedOn w:val="Normale"/>
    <w:link w:val="TestofumettoCarattere"/>
    <w:uiPriority w:val="99"/>
    <w:semiHidden/>
    <w:unhideWhenUsed/>
    <w:rsid w:val="003A3955"/>
    <w:rPr>
      <w:rFonts w:ascii="Segoe UI" w:hAnsi="Segoe UI" w:cs="Mangal"/>
      <w:sz w:val="18"/>
      <w:szCs w:val="16"/>
    </w:rPr>
  </w:style>
  <w:style w:type="character" w:customStyle="1" w:styleId="TestofumettoCarattere">
    <w:name w:val="Testo fumetto Carattere"/>
    <w:basedOn w:val="Carpredefinitoparagrafo"/>
    <w:link w:val="Testofumetto"/>
    <w:uiPriority w:val="99"/>
    <w:semiHidden/>
    <w:rsid w:val="003A3955"/>
    <w:rPr>
      <w:rFonts w:ascii="Segoe UI" w:eastAsia="Droid Sans Fallback" w:hAnsi="Segoe UI" w:cs="Mangal"/>
      <w:color w:val="00000A"/>
      <w:sz w:val="18"/>
      <w:szCs w:val="16"/>
      <w:lang w:eastAsia="zh-CN" w:bidi="hi-IN"/>
    </w:rPr>
  </w:style>
  <w:style w:type="paragraph" w:customStyle="1" w:styleId="Default">
    <w:name w:val="Default"/>
    <w:rsid w:val="002665F4"/>
    <w:pPr>
      <w:autoSpaceDE w:val="0"/>
      <w:autoSpaceDN w:val="0"/>
      <w:adjustRightInd w:val="0"/>
      <w:spacing w:after="0" w:line="240" w:lineRule="auto"/>
    </w:pPr>
    <w:rPr>
      <w:rFonts w:ascii="EUAlbertina" w:hAnsi="EUAlbertina" w:cs="EUAlbertina"/>
      <w:color w:val="000000"/>
      <w:sz w:val="24"/>
      <w:szCs w:val="24"/>
    </w:rPr>
  </w:style>
  <w:style w:type="paragraph" w:styleId="Revisione">
    <w:name w:val="Revision"/>
    <w:hidden/>
    <w:uiPriority w:val="99"/>
    <w:semiHidden/>
    <w:rsid w:val="00D77CDD"/>
    <w:pPr>
      <w:spacing w:after="0" w:line="240" w:lineRule="auto"/>
    </w:pPr>
    <w:rPr>
      <w:rFonts w:ascii="Calibri" w:eastAsia="Droid Sans Fallback" w:hAnsi="Calibri" w:cs="Mangal"/>
      <w:color w:val="00000A"/>
      <w:sz w:val="24"/>
      <w:szCs w:val="21"/>
      <w:lang w:eastAsia="zh-CN" w:bidi="hi-IN"/>
    </w:rPr>
  </w:style>
  <w:style w:type="paragraph" w:customStyle="1" w:styleId="CM1">
    <w:name w:val="CM1"/>
    <w:basedOn w:val="Default"/>
    <w:next w:val="Default"/>
    <w:uiPriority w:val="99"/>
    <w:rsid w:val="00E05950"/>
    <w:rPr>
      <w:rFonts w:ascii="Times New Roman" w:hAnsi="Times New Roman" w:cs="Times New Roman"/>
      <w:color w:val="auto"/>
    </w:rPr>
  </w:style>
  <w:style w:type="paragraph" w:customStyle="1" w:styleId="CM3">
    <w:name w:val="CM3"/>
    <w:basedOn w:val="Default"/>
    <w:next w:val="Default"/>
    <w:uiPriority w:val="99"/>
    <w:rsid w:val="00E05950"/>
    <w:rPr>
      <w:rFonts w:ascii="Times New Roman" w:hAnsi="Times New Roman" w:cs="Times New Roman"/>
      <w:color w:val="auto"/>
    </w:rPr>
  </w:style>
  <w:style w:type="paragraph" w:customStyle="1" w:styleId="CM4">
    <w:name w:val="CM4"/>
    <w:basedOn w:val="Default"/>
    <w:next w:val="Default"/>
    <w:uiPriority w:val="99"/>
    <w:rsid w:val="00E05950"/>
    <w:rPr>
      <w:rFonts w:ascii="Times New Roman" w:hAnsi="Times New Roman" w:cs="Times New Roman"/>
      <w:color w:val="auto"/>
    </w:rPr>
  </w:style>
  <w:style w:type="table" w:styleId="Grigliatabella">
    <w:name w:val="Table Grid"/>
    <w:basedOn w:val="Tabellanormale"/>
    <w:uiPriority w:val="39"/>
    <w:rsid w:val="0096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A03CEA-6A68-409D-8A01-BE74FC7B2C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F2F396-D5A6-4E93-917F-226EF26048F5}">
  <ds:schemaRefs>
    <ds:schemaRef ds:uri="http://schemas.microsoft.com/office/2006/metadata/properties"/>
    <ds:schemaRef ds:uri="http://schemas.microsoft.com/office/infopath/2007/PartnerControls"/>
    <ds:schemaRef ds:uri="a16531ac-38ed-429d-b9ed-0265025defa8"/>
  </ds:schemaRefs>
</ds:datastoreItem>
</file>

<file path=customXml/itemProps3.xml><?xml version="1.0" encoding="utf-8"?>
<ds:datastoreItem xmlns:ds="http://schemas.openxmlformats.org/officeDocument/2006/customXml" ds:itemID="{A807F1CD-2FDD-409B-8E85-2EEE92A1BE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2291</Words>
  <Characters>13064</Characters>
  <Application>Microsoft Office Word</Application>
  <DocSecurity>0</DocSecurity>
  <Lines>108</Lines>
  <Paragraphs>30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Zanon</dc:creator>
  <cp:keywords/>
  <dc:description/>
  <cp:lastModifiedBy>Rita Cristina De Ponti</cp:lastModifiedBy>
  <cp:revision>3</cp:revision>
  <cp:lastPrinted>2022-07-08T09:29:00Z</cp:lastPrinted>
  <dcterms:created xsi:type="dcterms:W3CDTF">2022-09-15T12:17:00Z</dcterms:created>
  <dcterms:modified xsi:type="dcterms:W3CDTF">2022-09-15T12:27:00Z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0x010100FB5FABF15D55F4448355840C1EB32076</vt:lpwstr>
  </property>
  <property fmtid="{D5CDD505-2E9C-101B-9397-08002B2CF9AE}" pid="3" name="MediaServiceImageTags">
    <vt:lpwstr/>
  </property>
</Properties>
</file>